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8" w:rsidRDefault="00E27DD9">
      <w:pPr>
        <w:spacing w:after="0" w:line="259" w:lineRule="auto"/>
        <w:ind w:left="0" w:right="11" w:firstLine="0"/>
        <w:jc w:val="center"/>
      </w:pPr>
      <w:r>
        <w:rPr>
          <w:rFonts w:ascii="Tahoma" w:eastAsia="Tahoma" w:hAnsi="Tahoma" w:cs="Tahoma"/>
          <w:b/>
          <w:i w:val="0"/>
          <w:sz w:val="28"/>
        </w:rPr>
        <w:t xml:space="preserve">Dodatok 1.10.A </w:t>
      </w:r>
    </w:p>
    <w:p w:rsidR="00265CD8" w:rsidRDefault="00E27DD9">
      <w:pPr>
        <w:spacing w:after="0" w:line="238" w:lineRule="auto"/>
        <w:ind w:left="142" w:right="157" w:firstLine="0"/>
      </w:pPr>
      <w:r>
        <w:rPr>
          <w:rFonts w:ascii="Tahoma" w:eastAsia="Tahoma" w:hAnsi="Tahoma" w:cs="Tahoma"/>
          <w:b/>
          <w:i w:val="0"/>
          <w:sz w:val="22"/>
        </w:rPr>
        <w:t>k žiadosti o schválenie bitúnku  s malým objemom výroby podľa nariadenia vlády SR č. 359 / 2011 Z. z., ktorým sa ustanovujú požiadavky na niektoré potravinárske prevádzkarne a na malé množstvá</w:t>
      </w:r>
      <w:r>
        <w:rPr>
          <w:rFonts w:ascii="Tahoma" w:eastAsia="Tahoma" w:hAnsi="Tahoma" w:cs="Tahoma"/>
          <w:b/>
          <w:i w:val="0"/>
          <w:sz w:val="17"/>
        </w:rPr>
        <w:t xml:space="preserve">  </w:t>
      </w:r>
    </w:p>
    <w:p w:rsidR="00265CD8" w:rsidRDefault="00E27DD9">
      <w:pPr>
        <w:spacing w:after="129"/>
        <w:ind w:left="182" w:right="144"/>
      </w:pPr>
      <w:r>
        <w:t xml:space="preserve">Pre bitúnky sa okrem  Žiadosti o </w:t>
      </w:r>
      <w:r>
        <w:t xml:space="preserve">schválenie </w:t>
      </w:r>
      <w:r w:rsidR="00506AC2">
        <w:t>(formulár ŠVPS-ŽIADOSŤ- NBR-2018</w:t>
      </w:r>
      <w:bookmarkStart w:id="0" w:name="_GoBack"/>
      <w:bookmarkEnd w:id="0"/>
      <w:r>
        <w:t>), podáva pred schvaľovaním aj tento dodatok k žiadosti, v ktorom sú informácie žiadateľa o schválenie bitúnku potrebné na posúdenie požiadaviek na usporiadanie, stavbu a vybavenie bitúnku z hľadiska ochrany zvier</w:t>
      </w:r>
      <w:r>
        <w:t xml:space="preserve">at počas usmrcovania podľa nariadenia Rady (ES) č. 1099/2009 o ochrane zvierat počas usmrcovania. </w:t>
      </w:r>
    </w:p>
    <w:p w:rsidR="00265CD8" w:rsidRDefault="00E27DD9">
      <w:pPr>
        <w:spacing w:after="0" w:line="270" w:lineRule="auto"/>
        <w:ind w:left="283" w:right="0" w:hanging="283"/>
        <w:jc w:val="left"/>
      </w:pPr>
      <w:r>
        <w:rPr>
          <w:b/>
          <w:i w:val="0"/>
        </w:rPr>
        <w:t>1.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10. </w:t>
      </w:r>
      <w:r>
        <w:rPr>
          <w:i w:val="0"/>
        </w:rPr>
        <w:t xml:space="preserve"> I</w:t>
      </w:r>
      <w:r>
        <w:rPr>
          <w:b/>
          <w:i w:val="0"/>
        </w:rPr>
        <w:t>nformácie a dokumentáciu</w:t>
      </w:r>
      <w:r>
        <w:rPr>
          <w:i w:val="0"/>
        </w:rPr>
        <w:t xml:space="preserve">  podľa </w:t>
      </w:r>
      <w:r>
        <w:rPr>
          <w:b/>
          <w:i w:val="0"/>
        </w:rPr>
        <w:t xml:space="preserve">bodov A. 1.1, 2.1, 3.1, 4.1;5.1; </w:t>
      </w:r>
      <w:r>
        <w:rPr>
          <w:i w:val="0"/>
        </w:rPr>
        <w:t xml:space="preserve">je potrebné predložiť ako prílohy k žiadosti. Tieto dokumenty nemusia byť overené. </w:t>
      </w:r>
      <w:r>
        <w:rPr>
          <w:i w:val="0"/>
        </w:rPr>
        <w:t xml:space="preserve">Ich pravosť sa overí na mieste. </w:t>
      </w:r>
      <w:r>
        <w:rPr>
          <w:b/>
          <w:i w:val="0"/>
        </w:rPr>
        <w:t xml:space="preserve"> </w:t>
      </w:r>
    </w:p>
    <w:tbl>
      <w:tblPr>
        <w:tblStyle w:val="TableGrid"/>
        <w:tblW w:w="9564" w:type="dxa"/>
        <w:tblInd w:w="77" w:type="dxa"/>
        <w:tblCellMar>
          <w:top w:w="63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564"/>
      </w:tblGrid>
      <w:tr w:rsidR="00265CD8">
        <w:trPr>
          <w:trHeight w:val="59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  <w:sz w:val="22"/>
              </w:rPr>
              <w:t xml:space="preserve">Časť 1.10.A </w:t>
            </w:r>
            <w:r>
              <w:rPr>
                <w:b/>
                <w:i w:val="0"/>
              </w:rPr>
              <w:t xml:space="preserve"> Dokumentácia k uplatňovaniu </w:t>
            </w:r>
            <w:r>
              <w:rPr>
                <w:b/>
                <w:i w:val="0"/>
                <w:sz w:val="16"/>
              </w:rPr>
              <w:t xml:space="preserve">POŽIADAVIEK </w:t>
            </w:r>
            <w:r>
              <w:rPr>
                <w:b/>
                <w:i w:val="0"/>
              </w:rPr>
              <w:t xml:space="preserve">na usporiadanie, stavbu a vybavenie bitúnku z hľadiska ochrany zvierat: </w:t>
            </w:r>
          </w:p>
        </w:tc>
      </w:tr>
      <w:tr w:rsidR="00265CD8">
        <w:trPr>
          <w:trHeight w:val="1809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44" w:firstLine="0"/>
            </w:pPr>
            <w:r>
              <w:rPr>
                <w:i w:val="0"/>
                <w:sz w:val="28"/>
              </w:rPr>
              <w:t xml:space="preserve">□ </w:t>
            </w:r>
            <w:r>
              <w:rPr>
                <w:b/>
                <w:i w:val="0"/>
              </w:rPr>
              <w:t xml:space="preserve">A .1.1. podrobné plány (nákresy/pôdorysy) prevádzkarne navrhovanej na schválenie </w:t>
            </w:r>
            <w:r>
              <w:rPr>
                <w:i w:val="0"/>
              </w:rPr>
              <w:t>Podrobný pôdorys časti bitúnku s jej nákresom - situačný plán, v ktorom bude vyznačený  príchod zvierat na bitúnok,  vykládka zvierat s vykladacou rampou s jej  sklonom, preháňacie chodby s uvedením šírky a výšky priestoru,  rozmery ustajňovacích priestoro</w:t>
            </w:r>
            <w:r>
              <w:rPr>
                <w:i w:val="0"/>
              </w:rPr>
              <w:t>v pre všetky druhy a kategórie zabíjaných zvierat s vyznačením zábran, ohrád, umiestnenie znehybňovacieho zariadenia s uvedením jeho rozmerov, miesto omráčenia a vykrvenia, vrátane prúdového diagramu pohybu zvierat od príchodu na bitúnok po vykrvenie.</w:t>
            </w:r>
            <w:r>
              <w:rPr>
                <w:b/>
                <w:i w:val="0"/>
              </w:rPr>
              <w:t xml:space="preserve"> </w:t>
            </w:r>
          </w:p>
        </w:tc>
      </w:tr>
      <w:tr w:rsidR="00265CD8">
        <w:trPr>
          <w:trHeight w:val="684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8"/>
              </w:rPr>
              <w:t>□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A. 2.1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Návody pre znehybňovacie zariadenia</w:t>
            </w:r>
            <w:r>
              <w:rPr>
                <w:i w:val="0"/>
              </w:rPr>
              <w:t xml:space="preserve"> pre každý druh a kategóriu zvierat (na používanie , na výkon kontrol funkčnosti a  údržby) </w:t>
            </w:r>
          </w:p>
        </w:tc>
      </w:tr>
      <w:tr w:rsidR="00265CD8">
        <w:trPr>
          <w:trHeight w:val="684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8"/>
              </w:rPr>
              <w:t>□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A. 3.1</w:t>
            </w:r>
            <w:r>
              <w:rPr>
                <w:i w:val="0"/>
              </w:rPr>
              <w:t xml:space="preserve">. </w:t>
            </w:r>
            <w:r>
              <w:rPr>
                <w:b/>
                <w:i w:val="0"/>
              </w:rPr>
              <w:t xml:space="preserve">Návody pre omračovacie zariadenia </w:t>
            </w:r>
            <w:r>
              <w:rPr>
                <w:i w:val="0"/>
              </w:rPr>
              <w:t>pre každý druh a kategóriu zvierat (na používanie, na výkon kontrol funkčno</w:t>
            </w:r>
            <w:r>
              <w:rPr>
                <w:i w:val="0"/>
              </w:rPr>
              <w:t xml:space="preserve">sti a údržby) </w:t>
            </w:r>
          </w:p>
        </w:tc>
      </w:tr>
      <w:tr w:rsidR="00265CD8">
        <w:trPr>
          <w:trHeight w:val="42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8"/>
              </w:rPr>
              <w:t xml:space="preserve">□ </w:t>
            </w:r>
            <w:r>
              <w:rPr>
                <w:b/>
                <w:i w:val="0"/>
              </w:rPr>
              <w:t>A 4.1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 xml:space="preserve">Návody pre náhradné omračovacie zariadenie </w:t>
            </w:r>
            <w:r>
              <w:rPr>
                <w:i w:val="0"/>
              </w:rPr>
              <w:t xml:space="preserve">(na používanie, na výkon kontrol funkčnosti a jeho  údržby) </w:t>
            </w:r>
          </w:p>
        </w:tc>
      </w:tr>
      <w:tr w:rsidR="00265CD8">
        <w:trPr>
          <w:trHeight w:val="124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334" w:lineRule="auto"/>
              <w:ind w:left="0" w:right="0" w:firstLine="0"/>
              <w:jc w:val="left"/>
            </w:pPr>
            <w:r>
              <w:rPr>
                <w:i w:val="0"/>
                <w:sz w:val="28"/>
              </w:rPr>
              <w:t>□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A.5.1</w:t>
            </w:r>
            <w:r>
              <w:rPr>
                <w:i w:val="0"/>
              </w:rPr>
              <w:t xml:space="preserve"> Dokumentácia preukazujúca, že každé použité omračovacie zariadenie </w:t>
            </w:r>
            <w:r>
              <w:rPr>
                <w:b/>
                <w:i w:val="0"/>
              </w:rPr>
              <w:t xml:space="preserve">má funkciu zaznamenávania nastavených kľúčových parametrov </w:t>
            </w:r>
            <w:r>
              <w:rPr>
                <w:i w:val="0"/>
              </w:rPr>
              <w:t xml:space="preserve">pre elektrické a plynové omračovacie zariadenie  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□ Preukázateľne dokladovať, že </w:t>
            </w:r>
            <w:r>
              <w:rPr>
                <w:b/>
                <w:i w:val="0"/>
              </w:rPr>
              <w:t xml:space="preserve">záznamy </w:t>
            </w:r>
            <w:r>
              <w:rPr>
                <w:i w:val="0"/>
              </w:rPr>
              <w:t xml:space="preserve">nameraných údajov z elektrického a plynového omračovacieho zariadenia  budú v podobe , v </w:t>
            </w:r>
            <w:r>
              <w:rPr>
                <w:i w:val="0"/>
              </w:rPr>
              <w:t xml:space="preserve">ktorej sa dajú archivovať po dobu 1 roka podľa predpisu </w:t>
            </w:r>
          </w:p>
        </w:tc>
      </w:tr>
      <w:tr w:rsidR="00265CD8">
        <w:trPr>
          <w:trHeight w:val="684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8"/>
              </w:rPr>
              <w:t>□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 xml:space="preserve">A.6.1 </w:t>
            </w:r>
            <w:r>
              <w:rPr>
                <w:i w:val="0"/>
              </w:rPr>
              <w:t>Opis zavedeného systém monitorovania postupov podľa čl. 16 nariadenia Rady (ES) č.  1099/2009 vypracovaný formou štandardných pracovných postupov</w:t>
            </w:r>
            <w:r>
              <w:rPr>
                <w:i w:val="0"/>
                <w:sz w:val="28"/>
              </w:rPr>
              <w:t xml:space="preserve"> </w:t>
            </w:r>
          </w:p>
        </w:tc>
      </w:tr>
    </w:tbl>
    <w:p w:rsidR="00265CD8" w:rsidRDefault="00E27DD9">
      <w:pPr>
        <w:spacing w:after="0" w:line="259" w:lineRule="auto"/>
        <w:ind w:left="142" w:right="0" w:firstLine="0"/>
        <w:jc w:val="left"/>
      </w:pPr>
      <w:r>
        <w:rPr>
          <w:b/>
          <w:i w:val="0"/>
        </w:rPr>
        <w:t xml:space="preserve"> </w:t>
      </w:r>
    </w:p>
    <w:tbl>
      <w:tblPr>
        <w:tblStyle w:val="TableGrid"/>
        <w:tblW w:w="9497" w:type="dxa"/>
        <w:tblInd w:w="144" w:type="dxa"/>
        <w:tblCellMar>
          <w:top w:w="4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265CD8">
        <w:trPr>
          <w:trHeight w:val="28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</w:rPr>
              <w:t xml:space="preserve">Časť  A .7. </w:t>
            </w:r>
            <w:r>
              <w:rPr>
                <w:b/>
                <w:i w:val="0"/>
              </w:rPr>
              <w:t xml:space="preserve">1. informácie o prevádzkarni, pre ktorú sa podáva žiadosť o schválenie </w:t>
            </w:r>
          </w:p>
        </w:tc>
      </w:tr>
      <w:tr w:rsidR="00265CD8">
        <w:trPr>
          <w:trHeight w:val="644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18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Meno a priezvisko osoby zodpovednej za dobré podmienky zvierat v prevádzkarni , ak ju má bitúnok určenú 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9933" w:type="dxa"/>
        <w:tblInd w:w="-267" w:type="dxa"/>
        <w:tblCellMar>
          <w:top w:w="45" w:type="dxa"/>
          <w:left w:w="19" w:type="dxa"/>
          <w:bottom w:w="0" w:type="dxa"/>
          <w:right w:w="358" w:type="dxa"/>
        </w:tblCellMar>
        <w:tblLook w:val="04A0" w:firstRow="1" w:lastRow="0" w:firstColumn="1" w:lastColumn="0" w:noHBand="0" w:noVBand="1"/>
      </w:tblPr>
      <w:tblGrid>
        <w:gridCol w:w="147"/>
        <w:gridCol w:w="243"/>
        <w:gridCol w:w="4176"/>
        <w:gridCol w:w="262"/>
        <w:gridCol w:w="4820"/>
        <w:gridCol w:w="285"/>
      </w:tblGrid>
      <w:tr w:rsidR="00265CD8">
        <w:trPr>
          <w:trHeight w:val="61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/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</w:rPr>
              <w:t>Časť 5: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Druh a rozsah vykonávanej činnosti</w:t>
            </w:r>
            <w:r>
              <w:rPr>
                <w:b/>
                <w:i w:val="0"/>
                <w:color w:val="FF0000"/>
              </w:rPr>
              <w:t xml:space="preserve"> </w:t>
            </w:r>
            <w:r>
              <w:rPr>
                <w:b/>
                <w:i w:val="0"/>
              </w:rPr>
              <w:t xml:space="preserve">prevádzkarne, pre ktorú sa žiada schválenie    podľa nariadenia č. 359 / 2011 Z. z. </w:t>
            </w:r>
          </w:p>
        </w:tc>
      </w:tr>
      <w:tr w:rsidR="00265CD8">
        <w:trPr>
          <w:trHeight w:val="397"/>
        </w:trPr>
        <w:tc>
          <w:tcPr>
            <w:tcW w:w="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43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 w:val="0"/>
              </w:rPr>
              <w:t xml:space="preserve">Časť  . 5.1.1.1 .Maximálny počet zabíjaných zvierat za hodinu pre každú linku  </w:t>
            </w:r>
          </w:p>
        </w:tc>
      </w:tr>
      <w:tr w:rsidR="00265CD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Hovädzí dobytok /kategórie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Ovce/kategórie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Kozy/kategórie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108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9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blPrEx>
          <w:tblCellMar>
            <w:top w:w="47" w:type="dxa"/>
            <w:left w:w="108" w:type="dxa"/>
            <w:right w:w="115" w:type="dxa"/>
          </w:tblCellMar>
        </w:tblPrEx>
        <w:trPr>
          <w:gridBefore w:val="1"/>
          <w:gridAfter w:val="1"/>
          <w:wBefore w:w="147" w:type="dxa"/>
          <w:wAfter w:w="285" w:type="dxa"/>
          <w:trHeight w:val="492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Ošípané /kategórie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blPrEx>
          <w:tblCellMar>
            <w:top w:w="47" w:type="dxa"/>
            <w:left w:w="108" w:type="dxa"/>
            <w:right w:w="115" w:type="dxa"/>
          </w:tblCellMar>
        </w:tblPrEx>
        <w:trPr>
          <w:gridBefore w:val="1"/>
          <w:gridAfter w:val="1"/>
          <w:wBefore w:w="147" w:type="dxa"/>
          <w:wAfter w:w="285" w:type="dxa"/>
          <w:trHeight w:val="490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blPrEx>
          <w:tblCellMar>
            <w:top w:w="47" w:type="dxa"/>
            <w:left w:w="108" w:type="dxa"/>
            <w:right w:w="115" w:type="dxa"/>
          </w:tblCellMar>
        </w:tblPrEx>
        <w:trPr>
          <w:gridBefore w:val="1"/>
          <w:gridAfter w:val="1"/>
          <w:wBefore w:w="147" w:type="dxa"/>
          <w:wAfter w:w="285" w:type="dxa"/>
          <w:trHeight w:val="492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blPrEx>
          <w:tblCellMar>
            <w:top w:w="47" w:type="dxa"/>
            <w:left w:w="108" w:type="dxa"/>
            <w:right w:w="115" w:type="dxa"/>
          </w:tblCellMar>
        </w:tblPrEx>
        <w:trPr>
          <w:gridBefore w:val="1"/>
          <w:gridAfter w:val="1"/>
          <w:wBefore w:w="147" w:type="dxa"/>
          <w:wAfter w:w="285" w:type="dxa"/>
          <w:trHeight w:val="490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Iné/kategórie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265CD8" w:rsidRDefault="00E27DD9">
      <w:pPr>
        <w:spacing w:after="0" w:line="259" w:lineRule="auto"/>
        <w:ind w:left="142" w:right="0" w:firstLine="0"/>
      </w:pPr>
      <w:r>
        <w:rPr>
          <w:i w:val="0"/>
        </w:rPr>
        <w:t xml:space="preserve"> </w:t>
      </w:r>
    </w:p>
    <w:tbl>
      <w:tblPr>
        <w:tblStyle w:val="TableGrid"/>
        <w:tblW w:w="9453" w:type="dxa"/>
        <w:tblInd w:w="149" w:type="dxa"/>
        <w:tblCellMar>
          <w:top w:w="44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215"/>
        <w:gridCol w:w="1309"/>
        <w:gridCol w:w="883"/>
        <w:gridCol w:w="2218"/>
        <w:gridCol w:w="2828"/>
      </w:tblGrid>
      <w:tr w:rsidR="00265CD8">
        <w:trPr>
          <w:trHeight w:val="569"/>
        </w:trPr>
        <w:tc>
          <w:tcPr>
            <w:tcW w:w="9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</w:rPr>
              <w:t xml:space="preserve">Časť 5.1.1.2  kategórie zvierat a hmotnosť, pre ktoré sa môžu použiť dostupné omračovacie a znehybňovacie zariadenia </w:t>
            </w:r>
          </w:p>
        </w:tc>
      </w:tr>
      <w:tr w:rsidR="00265CD8">
        <w:trPr>
          <w:trHeight w:val="150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Druh/Kategória zvierat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Hmotnosť zvierat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Typ omračovacieho zariadenia (mechanické, plynové, elektrické, vodná kúpeľ)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77" w:lineRule="auto"/>
              <w:ind w:left="0" w:right="0" w:firstLine="0"/>
              <w:jc w:val="left"/>
            </w:pPr>
            <w:r>
              <w:rPr>
                <w:i w:val="0"/>
              </w:rPr>
              <w:t xml:space="preserve">Typ znehybňovacieho zariadenia 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center"/>
            </w:pPr>
            <w:r>
              <w:rPr>
                <w:i w:val="0"/>
              </w:rPr>
              <w:t xml:space="preserve">(fixačná klietka pre hovädzí dobytok, pre ošípané, individuálne znehybnenie v koterci </w:t>
            </w:r>
          </w:p>
        </w:tc>
      </w:tr>
      <w:tr w:rsidR="00265CD8">
        <w:trPr>
          <w:trHeight w:val="4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87"/>
        </w:trPr>
        <w:tc>
          <w:tcPr>
            <w:tcW w:w="9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</w:rPr>
              <w:t xml:space="preserve">Časť 5.1.1.2a Maximálna kapacita každého priestoru na ustajnenie- </w:t>
            </w:r>
            <w:r>
              <w:t>ak bitúnok disponuje čakacími ohradami</w:t>
            </w:r>
            <w:r>
              <w:rPr>
                <w:b/>
                <w:i w:val="0"/>
              </w:rPr>
              <w:t xml:space="preserve"> </w:t>
            </w:r>
          </w:p>
        </w:tc>
      </w:tr>
      <w:tr w:rsidR="00265CD8">
        <w:trPr>
          <w:trHeight w:val="4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Druh/kategória zvierat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Číslo koterca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>Rozmer v m</w:t>
            </w:r>
            <w:r>
              <w:rPr>
                <w:i w:val="0"/>
                <w:vertAlign w:val="superscript"/>
              </w:rPr>
              <w:t xml:space="preserve">2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kapacita </w:t>
            </w:r>
          </w:p>
        </w:tc>
      </w:tr>
      <w:tr w:rsidR="00265CD8">
        <w:trPr>
          <w:trHeight w:val="4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265CD8" w:rsidRDefault="00E27DD9">
      <w:pPr>
        <w:spacing w:after="0" w:line="259" w:lineRule="auto"/>
        <w:ind w:left="142" w:right="0" w:firstLine="0"/>
      </w:pPr>
      <w:r>
        <w:rPr>
          <w:i w:val="0"/>
        </w:rPr>
        <w:t xml:space="preserve"> </w:t>
      </w:r>
    </w:p>
    <w:tbl>
      <w:tblPr>
        <w:tblStyle w:val="TableGrid"/>
        <w:tblW w:w="9582" w:type="dxa"/>
        <w:tblInd w:w="29" w:type="dxa"/>
        <w:tblCellMar>
          <w:top w:w="56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3"/>
        <w:gridCol w:w="9325"/>
        <w:gridCol w:w="144"/>
      </w:tblGrid>
      <w:tr w:rsidR="00265CD8">
        <w:trPr>
          <w:trHeight w:val="260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265CD8" w:rsidRDefault="00E27DD9">
            <w:pPr>
              <w:spacing w:after="0" w:line="259" w:lineRule="auto"/>
              <w:ind w:left="0" w:right="0" w:firstLine="0"/>
            </w:pPr>
            <w:r>
              <w:rPr>
                <w:b/>
                <w:i w:val="0"/>
              </w:rPr>
              <w:t>Časť  5.1.1.3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opis spôsobu prispôsobenia sa znehybňovacieho zariadenia</w:t>
            </w:r>
            <w:r>
              <w:rPr>
                <w:i w:val="0"/>
              </w:rPr>
              <w:t xml:space="preserve"> rozdielnym druhom a kategóriám zabíja-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CD8">
        <w:trPr>
          <w:trHeight w:val="2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5CD8" w:rsidRDefault="00E27DD9">
            <w:pPr>
              <w:spacing w:after="18" w:line="259" w:lineRule="auto"/>
              <w:ind w:left="0" w:right="0" w:firstLine="0"/>
              <w:jc w:val="left"/>
            </w:pPr>
            <w:r>
              <w:rPr>
                <w:i w:val="0"/>
                <w:shd w:val="clear" w:color="auto" w:fill="D3D3D3"/>
              </w:rPr>
              <w:t>ných zvierat</w:t>
            </w:r>
            <w:r>
              <w:rPr>
                <w:i w:val="0"/>
              </w:rPr>
              <w:t xml:space="preserve"> : </w:t>
            </w:r>
          </w:p>
          <w:p w:rsidR="00265CD8" w:rsidRDefault="00E27DD9">
            <w:pPr>
              <w:spacing w:after="21" w:line="259" w:lineRule="auto"/>
              <w:ind w:left="0" w:right="0" w:firstLine="0"/>
              <w:jc w:val="left"/>
            </w:pPr>
            <w:r>
              <w:rPr>
                <w:i w:val="0"/>
              </w:rPr>
              <w:t>Druh/kategória zvierat :................................................spôsob znehybnenia:.......................................</w:t>
            </w:r>
            <w:r>
              <w:rPr>
                <w:i w:val="0"/>
              </w:rPr>
              <w:t xml:space="preserve">................. </w:t>
            </w:r>
          </w:p>
          <w:p w:rsidR="00265CD8" w:rsidRDefault="00E27DD9">
            <w:pPr>
              <w:spacing w:after="217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Opis spôsobu prispôsobenia sa fixačného zariadenia danému druhu a kategórii zvieraťa: </w:t>
            </w:r>
          </w:p>
          <w:p w:rsidR="00265CD8" w:rsidRDefault="00E27DD9">
            <w:pPr>
              <w:spacing w:after="217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265CD8" w:rsidRDefault="00E27DD9">
            <w:pPr>
              <w:spacing w:after="22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265CD8" w:rsidRDefault="00E27DD9">
            <w:pPr>
              <w:spacing w:after="218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5CD8">
        <w:trPr>
          <w:trHeight w:val="312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265CD8" w:rsidRDefault="00E27DD9">
      <w:pPr>
        <w:spacing w:after="0" w:line="259" w:lineRule="auto"/>
        <w:ind w:left="142" w:right="0" w:firstLine="0"/>
      </w:pPr>
      <w:r>
        <w:rPr>
          <w:i w:val="0"/>
        </w:rPr>
        <w:t xml:space="preserve"> </w:t>
      </w:r>
    </w:p>
    <w:tbl>
      <w:tblPr>
        <w:tblStyle w:val="TableGrid"/>
        <w:tblW w:w="9060" w:type="dxa"/>
        <w:tblInd w:w="149" w:type="dxa"/>
        <w:tblCellMar>
          <w:top w:w="44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4112"/>
        <w:gridCol w:w="1966"/>
        <w:gridCol w:w="1429"/>
      </w:tblGrid>
      <w:tr w:rsidR="00265CD8">
        <w:trPr>
          <w:trHeight w:val="569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 w:val="0"/>
              </w:rPr>
              <w:t>Časť 5.1.1.4</w:t>
            </w:r>
            <w:r>
              <w:rPr>
                <w:i w:val="0"/>
              </w:rPr>
              <w:t xml:space="preserve"> Nastavenie </w:t>
            </w:r>
            <w:r>
              <w:rPr>
                <w:b/>
                <w:i w:val="0"/>
              </w:rPr>
              <w:t>kľúčových parametrov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pre každé omračovacie zariadenie používané na schvaľovanej prevádzke podľa prílohy č. 1 nariadenia Rady (ES) č. 1099/2009 </w:t>
            </w:r>
          </w:p>
        </w:tc>
      </w:tr>
      <w:tr w:rsidR="00265CD8">
        <w:trPr>
          <w:trHeight w:val="1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18" w:line="259" w:lineRule="auto"/>
              <w:ind w:left="38" w:right="0" w:firstLine="0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:rsidR="00265CD8" w:rsidRDefault="00E27DD9">
            <w:pPr>
              <w:spacing w:after="18" w:line="259" w:lineRule="auto"/>
              <w:ind w:left="53" w:right="0" w:firstLine="0"/>
              <w:jc w:val="left"/>
            </w:pPr>
            <w:r>
              <w:rPr>
                <w:b/>
                <w:i w:val="0"/>
              </w:rPr>
              <w:t>Typ omračova-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</w:rPr>
              <w:t xml:space="preserve">cieho zariadenia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18" w:line="259" w:lineRule="auto"/>
              <w:ind w:left="34" w:right="0" w:firstLine="0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:rsidR="00265CD8" w:rsidRDefault="00E27DD9">
            <w:pPr>
              <w:spacing w:after="18" w:line="259" w:lineRule="auto"/>
              <w:ind w:left="0" w:right="14" w:firstLine="0"/>
              <w:jc w:val="center"/>
            </w:pPr>
            <w:r>
              <w:rPr>
                <w:b/>
                <w:i w:val="0"/>
              </w:rPr>
              <w:t xml:space="preserve">kľúčové parametre </w:t>
            </w:r>
          </w:p>
          <w:p w:rsidR="00265CD8" w:rsidRDefault="00E27DD9">
            <w:pPr>
              <w:spacing w:after="0" w:line="259" w:lineRule="auto"/>
              <w:ind w:left="34" w:right="0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34"/>
              <w:jc w:val="center"/>
            </w:pPr>
            <w:r>
              <w:rPr>
                <w:b/>
                <w:i w:val="0"/>
              </w:rPr>
              <w:t xml:space="preserve">Druhy zvierat/ kategórie Hovädzí dobytok, malé prežúvavce, ošípané,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18" w:line="259" w:lineRule="auto"/>
              <w:ind w:left="37" w:right="0" w:firstLine="0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:rsidR="00265CD8" w:rsidRDefault="00E27D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 w:val="0"/>
              </w:rPr>
              <w:t xml:space="preserve">Uviesť hodnotu </w:t>
            </w:r>
          </w:p>
        </w:tc>
      </w:tr>
      <w:tr w:rsidR="00265CD8">
        <w:trPr>
          <w:trHeight w:val="490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mechanické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Veľkosť nábojky pre rozdielne váhové kategórie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Pozícia a smer výstrelu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Vhodná rýchlosť, dĺžka a priemer projektilu pri výstupe podľa veľkosti a druhu zvierat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Maximálna doba od omráčenia po vykrvenie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Hĺbka prieniku bodca od 150kg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Hĺbka prieniku bodca nad 150kg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elektrické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Minimálny elektrický prúd (A/Am)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Minimálne napätie 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Minimálna frekvencia Hz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Minimálna doba expozície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Čas od omráčenia po začiatok vykrvenia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Frekvencia kalibrácie prístroja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Optimalizácia prietoku elektrického prúdu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98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Opatrenia pred elektrošokmi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 w:val="0"/>
              </w:rPr>
              <w:t xml:space="preserve">plynové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Koncentrácia plynu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Dĺžka expozície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Doba od omráčenia po vykrvenie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Kvalita plynu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265CD8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265C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Teplota plynu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D8" w:rsidRDefault="00E27DD9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265CD8" w:rsidRDefault="00E27DD9">
      <w:pPr>
        <w:spacing w:after="28" w:line="259" w:lineRule="auto"/>
        <w:ind w:left="142" w:right="0" w:firstLine="0"/>
        <w:jc w:val="left"/>
      </w:pPr>
      <w:r>
        <w:rPr>
          <w:b/>
          <w:i w:val="0"/>
        </w:rPr>
        <w:t xml:space="preserve"> </w:t>
      </w:r>
    </w:p>
    <w:p w:rsidR="00265CD8" w:rsidRDefault="00E27D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8" w:line="259" w:lineRule="auto"/>
        <w:ind w:left="257" w:right="0" w:firstLine="0"/>
        <w:jc w:val="left"/>
      </w:pPr>
      <w:r>
        <w:rPr>
          <w:b/>
          <w:i w:val="0"/>
        </w:rPr>
        <w:t xml:space="preserve">Časť 5.3. Podrobnosti o činnostiach, ktoré sa budú v prevádzkarni, ktorá žiada o schválenie, vykonávať </w:t>
      </w:r>
    </w:p>
    <w:p w:rsidR="00265CD8" w:rsidRDefault="00E27DD9">
      <w:pPr>
        <w:spacing w:after="15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numPr>
          <w:ilvl w:val="0"/>
          <w:numId w:val="1"/>
        </w:numPr>
        <w:spacing w:after="208" w:line="270" w:lineRule="auto"/>
        <w:ind w:right="0" w:hanging="286"/>
        <w:jc w:val="left"/>
      </w:pPr>
      <w:r>
        <w:rPr>
          <w:i w:val="0"/>
        </w:rPr>
        <w:t xml:space="preserve">Počet zamestnancov , ktorí vykonávajú : </w:t>
      </w:r>
    </w:p>
    <w:p w:rsidR="00265CD8" w:rsidRDefault="00E27DD9">
      <w:pPr>
        <w:spacing w:after="210" w:line="270" w:lineRule="auto"/>
        <w:ind w:left="293" w:right="0"/>
        <w:jc w:val="left"/>
      </w:pPr>
      <w:r>
        <w:rPr>
          <w:i w:val="0"/>
        </w:rPr>
        <w:t xml:space="preserve">vykladanie zvierat_____________, preháňanie zvierat____________, ustajnenie zvierat_____________ </w:t>
      </w:r>
    </w:p>
    <w:p w:rsidR="00265CD8" w:rsidRDefault="00E27DD9">
      <w:pPr>
        <w:spacing w:after="206" w:line="270" w:lineRule="auto"/>
        <w:ind w:left="293" w:right="0"/>
        <w:jc w:val="left"/>
      </w:pPr>
      <w:r>
        <w:rPr>
          <w:i w:val="0"/>
        </w:rPr>
        <w:t xml:space="preserve">Počet zamestnancov , ktorí vykonávajú : </w:t>
      </w:r>
    </w:p>
    <w:p w:rsidR="00265CD8" w:rsidRDefault="00E27DD9">
      <w:pPr>
        <w:spacing w:after="235" w:line="270" w:lineRule="auto"/>
        <w:ind w:left="569" w:right="0" w:hanging="286"/>
        <w:jc w:val="left"/>
      </w:pPr>
      <w:r>
        <w:rPr>
          <w:i w:val="0"/>
        </w:rPr>
        <w:t>Znehybňovanie zvierat________ Omračovanie zvierat ___________________Vykrven</w:t>
      </w:r>
      <w:r>
        <w:rPr>
          <w:i w:val="0"/>
        </w:rPr>
        <w:t xml:space="preserve">ie zvierat_____________ </w:t>
      </w:r>
    </w:p>
    <w:p w:rsidR="00265CD8" w:rsidRDefault="00E27DD9">
      <w:pPr>
        <w:numPr>
          <w:ilvl w:val="0"/>
          <w:numId w:val="1"/>
        </w:numPr>
        <w:spacing w:after="211" w:line="270" w:lineRule="auto"/>
        <w:ind w:right="0" w:hanging="286"/>
        <w:jc w:val="left"/>
      </w:pPr>
      <w:r>
        <w:rPr>
          <w:i w:val="0"/>
        </w:rPr>
        <w:t xml:space="preserve">Meno, priezvisko osoby zodpovednej za kontrolu účinnosti omráčenia  </w:t>
      </w:r>
    </w:p>
    <w:p w:rsidR="00265CD8" w:rsidRDefault="00E27DD9">
      <w:pPr>
        <w:spacing w:after="206" w:line="270" w:lineRule="auto"/>
        <w:ind w:left="293" w:right="0"/>
        <w:jc w:val="left"/>
      </w:pPr>
      <w:r>
        <w:rPr>
          <w:i w:val="0"/>
        </w:rPr>
        <w:t xml:space="preserve">............................................................................................................................................. </w:t>
      </w:r>
    </w:p>
    <w:p w:rsidR="00265CD8" w:rsidRDefault="00E27DD9">
      <w:pPr>
        <w:numPr>
          <w:ilvl w:val="0"/>
          <w:numId w:val="1"/>
        </w:numPr>
        <w:spacing w:after="108" w:line="270" w:lineRule="auto"/>
        <w:ind w:right="0" w:hanging="286"/>
        <w:jc w:val="left"/>
      </w:pPr>
      <w:r>
        <w:rPr>
          <w:i w:val="0"/>
        </w:rPr>
        <w:t>Na bitúnku sa  budú</w:t>
      </w:r>
      <w:r>
        <w:rPr>
          <w:i w:val="0"/>
        </w:rPr>
        <w:t xml:space="preserve">  zvieratá zabíjať  rituálnym spôsobom, ak áno </w:t>
      </w:r>
    </w:p>
    <w:p w:rsidR="00265CD8" w:rsidRDefault="00E27DD9">
      <w:pPr>
        <w:spacing w:line="270" w:lineRule="auto"/>
        <w:ind w:left="293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 Budú zvieratá znehybnené jednotlivo </w:t>
      </w:r>
    </w:p>
    <w:p w:rsidR="00265CD8" w:rsidRDefault="00E27DD9">
      <w:pPr>
        <w:spacing w:line="270" w:lineRule="auto"/>
        <w:ind w:left="293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 Budú prežúvavce znehybnené mechanicky </w:t>
      </w:r>
    </w:p>
    <w:p w:rsidR="00265CD8" w:rsidRDefault="00E27DD9">
      <w:pPr>
        <w:spacing w:after="0" w:line="270" w:lineRule="auto"/>
        <w:ind w:left="293" w:right="0"/>
        <w:jc w:val="left"/>
      </w:pPr>
      <w:r>
        <w:rPr>
          <w:i w:val="0"/>
          <w:sz w:val="28"/>
        </w:rPr>
        <w:lastRenderedPageBreak/>
        <w:t>□</w:t>
      </w:r>
      <w:r>
        <w:rPr>
          <w:i w:val="0"/>
        </w:rPr>
        <w:t xml:space="preserve"> HD bude mať znehybnenú hlavu v laterálnom aj vertikálnom smere </w:t>
      </w:r>
    </w:p>
    <w:p w:rsidR="00265CD8" w:rsidRDefault="00E27DD9">
      <w:pPr>
        <w:spacing w:after="0" w:line="259" w:lineRule="auto"/>
        <w:ind w:left="283" w:right="0" w:firstLine="0"/>
        <w:jc w:val="left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265CD8" w:rsidRDefault="00E27DD9">
      <w:pPr>
        <w:numPr>
          <w:ilvl w:val="0"/>
          <w:numId w:val="1"/>
        </w:numPr>
        <w:spacing w:after="105" w:line="270" w:lineRule="auto"/>
        <w:ind w:right="0" w:hanging="286"/>
        <w:jc w:val="left"/>
      </w:pPr>
      <w:r>
        <w:rPr>
          <w:i w:val="0"/>
        </w:rPr>
        <w:t xml:space="preserve">Vykládka zvierat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 zabezpečená cez vykladacie rampy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 </w:t>
      </w:r>
      <w:r>
        <w:rPr>
          <w:i w:val="0"/>
        </w:rPr>
        <w:t xml:space="preserve">kontajnery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 inak (uviesť)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 rampy zabezpečené bočným zábradlím </w:t>
      </w:r>
    </w:p>
    <w:p w:rsidR="00265CD8" w:rsidRDefault="00E27DD9">
      <w:pPr>
        <w:spacing w:after="0"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zabezpečený sklon rampy menší ako 20 stupňov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 </w:t>
      </w:r>
    </w:p>
    <w:p w:rsidR="00265CD8" w:rsidRDefault="00E27DD9">
      <w:pPr>
        <w:spacing w:after="109" w:line="270" w:lineRule="auto"/>
        <w:ind w:left="137" w:right="0"/>
        <w:jc w:val="left"/>
      </w:pPr>
      <w:r>
        <w:rPr>
          <w:i w:val="0"/>
        </w:rPr>
        <w:t xml:space="preserve">      5.Preháňanie zvierat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 preháňacie chodby prispôsobené druhu a kategórii zabíjaných zvierat </w:t>
      </w:r>
    </w:p>
    <w:p w:rsidR="00265CD8" w:rsidRDefault="00E27DD9">
      <w:pPr>
        <w:spacing w:after="0"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 xml:space="preserve">□ </w:t>
      </w:r>
      <w:r>
        <w:rPr>
          <w:i w:val="0"/>
        </w:rPr>
        <w:t>tvar, výška, umiestnenie preháňac</w:t>
      </w:r>
      <w:r>
        <w:rPr>
          <w:i w:val="0"/>
        </w:rPr>
        <w:t xml:space="preserve">ích chodieb vyhovuje preháňaným zvieratám 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spacing w:after="109" w:line="270" w:lineRule="auto"/>
        <w:ind w:left="137" w:right="0"/>
        <w:jc w:val="left"/>
      </w:pPr>
      <w:r>
        <w:rPr>
          <w:i w:val="0"/>
        </w:rPr>
        <w:t xml:space="preserve">      6.Umiestňovanie zvierat v čakacích ohradách,  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 xml:space="preserve">□ </w:t>
      </w:r>
      <w:r>
        <w:rPr>
          <w:i w:val="0"/>
        </w:rPr>
        <w:t xml:space="preserve">vybavené a upravené tak, aby nespôsobili poškodenie zvierat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 xml:space="preserve">□ </w:t>
      </w:r>
      <w:r>
        <w:rPr>
          <w:i w:val="0"/>
        </w:rPr>
        <w:t xml:space="preserve">zabezpečené napájanie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zabezpečené primerané vetranie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zabezpečený výstražný systém ak je vetranie zabezpečené mechanickým zariadením 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</w:rPr>
        <w:t xml:space="preserve"> </w:t>
      </w:r>
      <w:r>
        <w:rPr>
          <w:i w:val="0"/>
          <w:sz w:val="28"/>
        </w:rPr>
        <w:t>□</w:t>
      </w:r>
      <w:r>
        <w:rPr>
          <w:i w:val="0"/>
        </w:rPr>
        <w:t xml:space="preserve">zabezpečené primerané osvetlenie </w:t>
      </w:r>
    </w:p>
    <w:p w:rsidR="00265CD8" w:rsidRDefault="00E27DD9">
      <w:pPr>
        <w:spacing w:line="270" w:lineRule="auto"/>
        <w:ind w:left="293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zabezpečené pevné a odolné podlahy </w:t>
      </w:r>
    </w:p>
    <w:p w:rsidR="00265CD8" w:rsidRDefault="00E27DD9">
      <w:pPr>
        <w:spacing w:after="0" w:line="270" w:lineRule="auto"/>
        <w:ind w:left="293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zabezpečená ochrana pred nepriazňou počasia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spacing w:after="109" w:line="270" w:lineRule="auto"/>
        <w:ind w:left="137" w:right="0"/>
        <w:jc w:val="left"/>
      </w:pPr>
      <w:r>
        <w:rPr>
          <w:i w:val="0"/>
        </w:rPr>
        <w:t xml:space="preserve"> 7. Priestor znehybňovania </w:t>
      </w:r>
    </w:p>
    <w:p w:rsidR="00265CD8" w:rsidRDefault="00E27DD9">
      <w:pPr>
        <w:spacing w:after="12" w:line="270" w:lineRule="auto"/>
        <w:ind w:left="293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 </w:t>
      </w:r>
      <w:r>
        <w:rPr>
          <w:i w:val="0"/>
        </w:rPr>
        <w:t xml:space="preserve">dostatočne priestranný pre personál okolo znehybňovacieho zariadenia,  </w:t>
      </w:r>
    </w:p>
    <w:p w:rsidR="00265CD8" w:rsidRDefault="00E27DD9">
      <w:pPr>
        <w:spacing w:line="270" w:lineRule="auto"/>
        <w:ind w:left="293" w:right="0"/>
        <w:jc w:val="left"/>
      </w:pPr>
      <w:r>
        <w:rPr>
          <w:rFonts w:ascii="Wingdings 2" w:eastAsia="Wingdings 2" w:hAnsi="Wingdings 2" w:cs="Wingdings 2"/>
          <w:i w:val="0"/>
          <w:sz w:val="28"/>
        </w:rPr>
        <w:t></w:t>
      </w:r>
      <w:r>
        <w:rPr>
          <w:i w:val="0"/>
          <w:sz w:val="28"/>
        </w:rPr>
        <w:t xml:space="preserve"> </w:t>
      </w:r>
      <w:r>
        <w:rPr>
          <w:i w:val="0"/>
        </w:rPr>
        <w:t xml:space="preserve">umiestnený mimo dohľad ostatných zvierat  </w:t>
      </w:r>
    </w:p>
    <w:p w:rsidR="00265CD8" w:rsidRDefault="00E27DD9">
      <w:pPr>
        <w:spacing w:line="270" w:lineRule="auto"/>
        <w:ind w:left="293" w:right="0"/>
        <w:jc w:val="left"/>
      </w:pPr>
      <w:r>
        <w:rPr>
          <w:i w:val="0"/>
          <w:sz w:val="28"/>
        </w:rPr>
        <w:t xml:space="preserve">□ </w:t>
      </w:r>
      <w:r>
        <w:rPr>
          <w:i w:val="0"/>
        </w:rPr>
        <w:t xml:space="preserve">umiestnený tak, aby zviera neodmietalo do neho vojsť (proti stene, silné svetlo, hluk) </w:t>
      </w:r>
    </w:p>
    <w:p w:rsidR="00265CD8" w:rsidRDefault="00E27DD9">
      <w:pPr>
        <w:spacing w:after="209" w:line="270" w:lineRule="auto"/>
        <w:ind w:left="293" w:right="0"/>
        <w:jc w:val="left"/>
      </w:pPr>
      <w:r>
        <w:rPr>
          <w:i w:val="0"/>
          <w:sz w:val="28"/>
        </w:rPr>
        <w:t xml:space="preserve">□ </w:t>
      </w:r>
      <w:r>
        <w:rPr>
          <w:i w:val="0"/>
        </w:rPr>
        <w:t xml:space="preserve">dostatočne veľký na to, aby sa dalo zariadenie </w:t>
      </w:r>
      <w:r>
        <w:rPr>
          <w:i w:val="0"/>
        </w:rPr>
        <w:t xml:space="preserve">prispôsobiť rozdielnym hmotnostiam druhov  a kategórií zabíjaných zvierat </w:t>
      </w:r>
    </w:p>
    <w:p w:rsidR="00265CD8" w:rsidRDefault="00E27DD9">
      <w:pPr>
        <w:numPr>
          <w:ilvl w:val="0"/>
          <w:numId w:val="2"/>
        </w:numPr>
        <w:spacing w:after="93" w:line="270" w:lineRule="auto"/>
        <w:ind w:right="0" w:hanging="242"/>
        <w:jc w:val="left"/>
      </w:pPr>
      <w:r>
        <w:rPr>
          <w:i w:val="0"/>
        </w:rPr>
        <w:t xml:space="preserve">Nakladanie s nevládnym zvieraťom </w:t>
      </w:r>
    </w:p>
    <w:p w:rsidR="00265CD8" w:rsidRDefault="00E27DD9">
      <w:pPr>
        <w:spacing w:after="0" w:line="362" w:lineRule="auto"/>
        <w:ind w:left="293" w:right="904"/>
        <w:jc w:val="left"/>
      </w:pPr>
      <w:r>
        <w:rPr>
          <w:i w:val="0"/>
        </w:rPr>
        <w:t xml:space="preserve">□ prevádzka vlastní vozík , alebo zariadenie na prenášanie nevládnych zvierat na miesto omráčenia □ je možné zabíjanie zvierat na mieste kde ležia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numPr>
          <w:ilvl w:val="0"/>
          <w:numId w:val="2"/>
        </w:numPr>
        <w:spacing w:after="0" w:line="270" w:lineRule="auto"/>
        <w:ind w:right="0" w:hanging="242"/>
        <w:jc w:val="left"/>
      </w:pPr>
      <w:r>
        <w:rPr>
          <w:i w:val="0"/>
        </w:rPr>
        <w:t xml:space="preserve">Omračovanie </w:t>
      </w:r>
    </w:p>
    <w:p w:rsidR="00265CD8" w:rsidRDefault="00E27DD9">
      <w:pPr>
        <w:spacing w:after="0" w:line="270" w:lineRule="auto"/>
        <w:ind w:left="137" w:right="0"/>
        <w:jc w:val="left"/>
      </w:pPr>
      <w:r>
        <w:rPr>
          <w:rFonts w:ascii="Wingdings 2" w:eastAsia="Wingdings 2" w:hAnsi="Wingdings 2" w:cs="Wingdings 2"/>
          <w:i w:val="0"/>
        </w:rPr>
        <w:t></w:t>
      </w:r>
      <w:r>
        <w:rPr>
          <w:i w:val="0"/>
        </w:rPr>
        <w:t xml:space="preserve">v mieste omračovania je prítomný náhradný omračovací prístroj </w:t>
      </w:r>
    </w:p>
    <w:p w:rsidR="00265CD8" w:rsidRDefault="00E27DD9">
      <w:pPr>
        <w:spacing w:after="0" w:line="270" w:lineRule="auto"/>
        <w:ind w:left="137" w:right="0"/>
        <w:jc w:val="left"/>
      </w:pPr>
      <w:r>
        <w:rPr>
          <w:rFonts w:ascii="Wingdings 2" w:eastAsia="Wingdings 2" w:hAnsi="Wingdings 2" w:cs="Wingdings 2"/>
          <w:i w:val="0"/>
        </w:rPr>
        <w:t></w:t>
      </w:r>
      <w:r>
        <w:rPr>
          <w:i w:val="0"/>
        </w:rPr>
        <w:t xml:space="preserve"> prístroj umiestnený na bitúnku tak, aby na neho obslužný personál videl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spacing w:after="104" w:line="270" w:lineRule="auto"/>
        <w:ind w:left="137" w:right="0"/>
        <w:jc w:val="left"/>
      </w:pPr>
      <w:r>
        <w:rPr>
          <w:i w:val="0"/>
        </w:rPr>
        <w:t xml:space="preserve"> 10. Vykrvenie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 vykonané v ľahu </w:t>
      </w:r>
    </w:p>
    <w:p w:rsidR="00265CD8" w:rsidRDefault="00E27DD9">
      <w:pPr>
        <w:spacing w:line="270" w:lineRule="auto"/>
        <w:ind w:left="137" w:right="0"/>
        <w:jc w:val="left"/>
      </w:pPr>
      <w:r>
        <w:rPr>
          <w:i w:val="0"/>
          <w:sz w:val="28"/>
        </w:rPr>
        <w:lastRenderedPageBreak/>
        <w:t>□</w:t>
      </w:r>
      <w:r>
        <w:rPr>
          <w:i w:val="0"/>
        </w:rPr>
        <w:t xml:space="preserve"> vykonané vo vise </w:t>
      </w:r>
    </w:p>
    <w:p w:rsidR="00265CD8" w:rsidRDefault="00E27DD9">
      <w:pPr>
        <w:spacing w:after="0" w:line="270" w:lineRule="auto"/>
        <w:ind w:left="137" w:right="0"/>
        <w:jc w:val="left"/>
      </w:pPr>
      <w:r>
        <w:rPr>
          <w:i w:val="0"/>
          <w:sz w:val="28"/>
        </w:rPr>
        <w:t>□ j</w:t>
      </w:r>
      <w:r>
        <w:rPr>
          <w:i w:val="0"/>
        </w:rPr>
        <w:t>e určená osoba na kontrolu dodržiavania č</w:t>
      </w:r>
      <w:r>
        <w:rPr>
          <w:i w:val="0"/>
        </w:rPr>
        <w:t xml:space="preserve">asu od omráčenia po vykrvenie  </w:t>
      </w:r>
    </w:p>
    <w:p w:rsidR="00265CD8" w:rsidRDefault="00E27DD9">
      <w:pPr>
        <w:spacing w:after="217" w:line="259" w:lineRule="auto"/>
        <w:ind w:left="142" w:right="0" w:firstLine="0"/>
        <w:jc w:val="left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</w:p>
    <w:p w:rsidR="00265CD8" w:rsidRDefault="00E27DD9">
      <w:pPr>
        <w:spacing w:after="22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spacing w:after="210" w:line="270" w:lineRule="auto"/>
        <w:ind w:left="137" w:right="0"/>
        <w:jc w:val="left"/>
      </w:pPr>
      <w:r>
        <w:rPr>
          <w:i w:val="0"/>
        </w:rPr>
        <w:t xml:space="preserve">-------------------------------------------------------------------------------------------------------------------------------------- </w:t>
      </w:r>
    </w:p>
    <w:p w:rsidR="00265CD8" w:rsidRDefault="00E27DD9">
      <w:pPr>
        <w:spacing w:after="230" w:line="270" w:lineRule="auto"/>
        <w:ind w:left="509" w:right="0"/>
        <w:jc w:val="left"/>
      </w:pPr>
      <w:r>
        <w:rPr>
          <w:rFonts w:ascii="Wingdings 2" w:eastAsia="Wingdings 2" w:hAnsi="Wingdings 2" w:cs="Wingdings 2"/>
          <w:i w:val="0"/>
        </w:rPr>
        <w:t></w:t>
      </w:r>
      <w:r>
        <w:rPr>
          <w:i w:val="0"/>
        </w:rPr>
        <w:t xml:space="preserve"> štvorček sa zaškrtne v </w:t>
      </w:r>
      <w:r>
        <w:rPr>
          <w:i w:val="0"/>
        </w:rPr>
        <w:t xml:space="preserve">prípade pozitívnej odpovede, tzn. ak prevádzkovateľ prikladá požadovaný určený dokument, ak má v prevádzkarni splnenú danú požiadavku, ak je odpoveď na dotaz </w:t>
      </w:r>
      <w:r>
        <w:rPr>
          <w:b/>
          <w:i w:val="0"/>
        </w:rPr>
        <w:t>áno</w:t>
      </w:r>
      <w:r>
        <w:rPr>
          <w:i w:val="0"/>
        </w:rPr>
        <w:t xml:space="preserve">.  </w:t>
      </w:r>
    </w:p>
    <w:p w:rsidR="00265CD8" w:rsidRDefault="00E27DD9">
      <w:pPr>
        <w:spacing w:after="91" w:line="270" w:lineRule="auto"/>
        <w:ind w:left="509" w:right="0"/>
        <w:jc w:val="left"/>
      </w:pPr>
      <w:r>
        <w:rPr>
          <w:i w:val="0"/>
          <w:sz w:val="28"/>
        </w:rPr>
        <w:t>□</w:t>
      </w:r>
      <w:r>
        <w:rPr>
          <w:i w:val="0"/>
        </w:rPr>
        <w:t xml:space="preserve"> štvorček sa nezaškrtne, ak prevádzkovateľ požadovanú dokumentáciu neprikladá, nemá návody</w:t>
      </w:r>
      <w:r>
        <w:rPr>
          <w:i w:val="0"/>
        </w:rPr>
        <w:t xml:space="preserve"> na činnosti , k zariadeniam, nemá zavedené určené systémy, ani určené osoby, na ktoré sa v žiadosti odkazuje.  </w:t>
      </w:r>
    </w:p>
    <w:p w:rsidR="00265CD8" w:rsidRDefault="00E27DD9">
      <w:pPr>
        <w:spacing w:after="231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265CD8" w:rsidRDefault="00E27DD9">
      <w:pPr>
        <w:spacing w:after="138" w:line="279" w:lineRule="auto"/>
        <w:ind w:left="137" w:right="95"/>
        <w:jc w:val="left"/>
      </w:pPr>
      <w:r>
        <w:rPr>
          <w:b/>
          <w:i w:val="0"/>
        </w:rPr>
        <w:t>VYSVETLIVKY k dodatku 1.10.A</w:t>
      </w:r>
      <w:r>
        <w:rPr>
          <w:b/>
          <w:i w:val="0"/>
          <w:sz w:val="22"/>
        </w:rPr>
        <w:t xml:space="preserve"> </w:t>
      </w:r>
      <w:r>
        <w:t xml:space="preserve">k žiadosti o schválenie bitúnku s malým objemom výroby podľa nariadenia vlády SR č. 359 / 2011 Z. z., ktorým sa </w:t>
      </w:r>
      <w:r>
        <w:t>ustanovujú požiadavky na niektoré potravinárske prevádzkarne a na malé množstvá</w:t>
      </w:r>
      <w:r>
        <w:rPr>
          <w:b/>
        </w:rPr>
        <w:t xml:space="preserve">  </w:t>
      </w:r>
    </w:p>
    <w:p w:rsidR="00265CD8" w:rsidRDefault="00E27DD9">
      <w:pPr>
        <w:pStyle w:val="Nadpis1"/>
        <w:ind w:left="137" w:right="9"/>
      </w:pPr>
      <w:r>
        <w:rPr>
          <w:sz w:val="22"/>
        </w:rPr>
        <w:t xml:space="preserve">Časť 1.10.A </w:t>
      </w:r>
      <w:r>
        <w:t xml:space="preserve"> dokumentácia k uplatňovaniu požiadaviek na usporiadanie, stavbu a vybavenie bitúnku z hľadiska ochrany zvierat</w:t>
      </w:r>
      <w:r>
        <w:rPr>
          <w:sz w:val="16"/>
        </w:rPr>
        <w:t xml:space="preserve">  </w:t>
      </w:r>
      <w:r>
        <w:rPr>
          <w:b w:val="0"/>
          <w:i/>
        </w:rPr>
        <w:t xml:space="preserve"> </w:t>
      </w:r>
    </w:p>
    <w:p w:rsidR="00265CD8" w:rsidRDefault="00E27DD9">
      <w:pPr>
        <w:ind w:left="182" w:right="144"/>
      </w:pPr>
      <w:r>
        <w:t xml:space="preserve"> Prevádzkovateľ k </w:t>
      </w:r>
      <w:r>
        <w:t xml:space="preserve">žiadosti doloží požadované dokumenty ako  sú : </w:t>
      </w:r>
    </w:p>
    <w:p w:rsidR="00265CD8" w:rsidRDefault="00E27DD9">
      <w:pPr>
        <w:numPr>
          <w:ilvl w:val="0"/>
          <w:numId w:val="3"/>
        </w:numPr>
        <w:ind w:right="144" w:hanging="360"/>
      </w:pPr>
      <w:r>
        <w:t xml:space="preserve">Pôdorys bitúnku obsahujúci nákres od vykládky zvierat až po miesto vykrvenia zvierat. S popisom smeru pohybu zvierat. Každý priestor musí byť označený číslom. K pôdorysu musí byť priložená legenda. </w:t>
      </w:r>
    </w:p>
    <w:p w:rsidR="00265CD8" w:rsidRDefault="00E27DD9">
      <w:pPr>
        <w:numPr>
          <w:ilvl w:val="0"/>
          <w:numId w:val="3"/>
        </w:numPr>
        <w:ind w:right="144" w:hanging="360"/>
      </w:pPr>
      <w:r>
        <w:t xml:space="preserve">K </w:t>
      </w:r>
      <w:r>
        <w:t>žiadosti budú doložené návody k znehybňovacím, omračovacím zariadeniam ako aj k náhradným omračovacím zariadeniam.  V návodoch musí byť systém obsluhy zariadení, spôsob kontroly ich funkčnosti, údržby a navrhované nastavenie hodnôt kľúčových parametrov, kt</w:t>
      </w:r>
      <w:r>
        <w:t xml:space="preserve">oré zaručia účinné omračovanie </w:t>
      </w:r>
    </w:p>
    <w:p w:rsidR="00265CD8" w:rsidRDefault="00E27DD9">
      <w:pPr>
        <w:numPr>
          <w:ilvl w:val="0"/>
          <w:numId w:val="3"/>
        </w:numPr>
        <w:ind w:right="144" w:hanging="360"/>
      </w:pPr>
      <w:r>
        <w:t>V návodoch na elektrické a plynové omračovacie zariadenie musí byť preukázateľne vyznačená funkcia zaznamenávania nastavených kľúčových parametrov pre elektrické a plynové omračovacie zariadenie. To znamená, že omračovacie z</w:t>
      </w:r>
      <w:r>
        <w:t xml:space="preserve">ariadenie dokáže zaznamenať nastavenú hodnotu elektrického napätia, frekvencie, hodnotu ampérov a dokáže zaznamenané hodnoty vytlačiť, čím sa zabezpečí archivácia nastavených údajov pri určenej porážke zvierat.  </w:t>
      </w:r>
    </w:p>
    <w:p w:rsidR="00265CD8" w:rsidRDefault="00E27DD9">
      <w:pPr>
        <w:numPr>
          <w:ilvl w:val="0"/>
          <w:numId w:val="3"/>
        </w:numPr>
        <w:spacing w:after="128"/>
        <w:ind w:right="144" w:hanging="360"/>
      </w:pPr>
      <w:r>
        <w:t>Doplní sa popis zavedeného systému monitoro</w:t>
      </w:r>
      <w:r>
        <w:t xml:space="preserve">vania podľa čl. 16 ods. 2 tak, že sa doplnia odpovede k jednotlivým písmenám od písmena a) po písmeno e) . Písomná  forma určenia počtu zvierat v reprezentatívnej vzorke  čl. 16 ods. 2 písm. e)  bude určená zvlášť pre každý druh a kategóriu zvierat, ktoré </w:t>
      </w:r>
      <w:r>
        <w:t>sa na bitúnku budú zabíjať. Určený počet zvierat – resp. v reprezentatívnej vzorke sa bude vždy kontrolovať na účinnosť omráčenia. Príklad: na bitúnku sa zabíja dospelý  HD.  Pri jeho zabíjaní sa bude kontrolovať každé druhé zviera z celkového počtu zabíja</w:t>
      </w:r>
      <w:r>
        <w:t xml:space="preserve">ných zvierat 10 ks.  Ošípaná výkrmová: skontroluje sa 20% zvierat z celkového počtu denne zabíjaných zvierat.  Denne sa zabije 1000 ošípaných, tzn. musí sa za deň skontrolovať 200 zvierat.  Kontroluje sa 5x za deň po 40 zvierat.  </w:t>
      </w:r>
    </w:p>
    <w:p w:rsidR="00265CD8" w:rsidRDefault="00E27DD9">
      <w:pPr>
        <w:pStyle w:val="Nadpis1"/>
        <w:ind w:left="137" w:right="9"/>
      </w:pPr>
      <w:r>
        <w:t>A . 7. 1 – meno a priezvi</w:t>
      </w:r>
      <w:r>
        <w:t xml:space="preserve">sko osoby zodpovednej za dobré podmienky zvierat  </w:t>
      </w:r>
    </w:p>
    <w:p w:rsidR="00265CD8" w:rsidRDefault="00E27DD9">
      <w:pPr>
        <w:spacing w:after="127"/>
        <w:ind w:left="182" w:right="144"/>
      </w:pPr>
      <w:r>
        <w:t xml:space="preserve">Prevádzkovateľ uvedie meno  a priezvisko osoby zodpovednej za dobré podmienky zvierat, ak ju má bitúnok  vymenovanú  </w:t>
      </w:r>
    </w:p>
    <w:p w:rsidR="00265CD8" w:rsidRDefault="00E27DD9">
      <w:pPr>
        <w:spacing w:after="9"/>
        <w:ind w:left="137" w:right="9"/>
        <w:jc w:val="left"/>
      </w:pPr>
      <w:r>
        <w:rPr>
          <w:b/>
          <w:i w:val="0"/>
        </w:rPr>
        <w:t xml:space="preserve">Časť 5: </w:t>
      </w:r>
    </w:p>
    <w:p w:rsidR="00265CD8" w:rsidRDefault="00E27DD9">
      <w:pPr>
        <w:pStyle w:val="Nadpis1"/>
        <w:ind w:left="137" w:right="9"/>
      </w:pPr>
      <w:r>
        <w:rPr>
          <w:b w:val="0"/>
        </w:rPr>
        <w:t>5.1.1.1.</w:t>
      </w:r>
      <w:r>
        <w:t xml:space="preserve"> Maximálny počet zabíjaných zvierat za hodinu pre každú linku </w:t>
      </w:r>
    </w:p>
    <w:p w:rsidR="00265CD8" w:rsidRDefault="00E27DD9">
      <w:pPr>
        <w:spacing w:after="127"/>
        <w:ind w:left="182" w:right="144"/>
      </w:pPr>
      <w:r>
        <w:t>Do tabu</w:t>
      </w:r>
      <w:r>
        <w:t>ľky sa uvedie počet zabíjaných zvierat za 1 hodinu podľa  druhu/kategórii zabíjaných zvierat pre každú linku zvlášť. Príklad.: linka na HD za 1 hodinu sa zabijú 2 ks HD, ošípané: za 1 hodinu sa zabije 10 ks ošípaných. Iné: kone, zvieratá z farmového chovu.</w:t>
      </w:r>
      <w:r>
        <w:t xml:space="preserve"> Tieto hodnoty sa určia z návodov výrobcu na danú linku. Počet zvierat zabitých za hodinu závisí od spôsobu znehybnenia , omráčenia , počtu pracovníkov na linke. Správne vyplnenie si vyžaduje návod výrobcu na znehybňovacie a omračovacie zariadenie.  </w:t>
      </w:r>
    </w:p>
    <w:p w:rsidR="00265CD8" w:rsidRDefault="00E27DD9">
      <w:pPr>
        <w:pStyle w:val="Nadpis1"/>
        <w:ind w:left="137" w:right="9"/>
      </w:pPr>
      <w:r>
        <w:lastRenderedPageBreak/>
        <w:t>5.1.1</w:t>
      </w:r>
      <w:r>
        <w:t xml:space="preserve">.2 Kategórie zvierat a hmotnosť, pre ktoré sa môžu použiť dostupné omračovacie a znehybňovacie zariadenia </w:t>
      </w:r>
    </w:p>
    <w:p w:rsidR="00265CD8" w:rsidRDefault="00E27DD9">
      <w:pPr>
        <w:spacing w:after="127"/>
        <w:ind w:left="182" w:right="144"/>
      </w:pPr>
      <w:r>
        <w:t>Do tabuľky sa vyplní druh zvierat – kategória – jeho hmotnosť . Ku každému druhu a kategórii zvierat sa uvedie typ znehybňovania a typ omračovania. P</w:t>
      </w:r>
      <w:r>
        <w:t>ríklad hovädzí dobytok (HD)  :  dospelý HD 450 kg , fixačná klietka, mechanické omračovanie, HD :mladý, priemer 120 kg, tá istá fixačná klietka, ktorá sa prispôsobuje veľkosti zvierat, mechanické omráčenie, ošípané: výkrmové ošípané 115 kg, omračovacia kli</w:t>
      </w:r>
      <w:r>
        <w:t>etka pre ošípané, elektrické omračovanie, pri vyplňovaní tejto požiadavky sa musí vychádzať z údajov uvedených v návode výrobcu pre znehybňovacie a omračovacie zariadenie, v ktorom  musí byť uvedené pre aký druh a kategóriu zvierat je jeho použitie určené.</w:t>
      </w:r>
      <w:r>
        <w:t xml:space="preserve">  </w:t>
      </w:r>
    </w:p>
    <w:p w:rsidR="00265CD8" w:rsidRDefault="00E27DD9">
      <w:pPr>
        <w:spacing w:after="9"/>
        <w:ind w:left="137" w:right="9"/>
        <w:jc w:val="left"/>
      </w:pPr>
      <w:r>
        <w:rPr>
          <w:b/>
          <w:i w:val="0"/>
        </w:rPr>
        <w:t xml:space="preserve">5.1.1.2a Maximálna kapacita každého priestoru na ustajnenie –vyplňuje sa iba v prípade, ak bitúnok disponuje čakacími ohradami.  </w:t>
      </w:r>
    </w:p>
    <w:p w:rsidR="00265CD8" w:rsidRDefault="00E27DD9">
      <w:pPr>
        <w:spacing w:after="138" w:line="279" w:lineRule="auto"/>
        <w:ind w:left="137" w:right="95"/>
        <w:jc w:val="left"/>
      </w:pPr>
      <w:r>
        <w:t>Prevádzkovateľ uvedie do tabuľky druh/kategóriu zvierat , rozmer ohrady v metroch štvorcových a určenú kapacitu daného prie</w:t>
      </w:r>
      <w:r>
        <w:t>storu pre daný druh zvierat. Príklad:  HD mladý,  číslo koterca 1. ,  Rozmery  ohrady 2,5mx2,5m je 6.5m</w:t>
      </w:r>
      <w:r>
        <w:rPr>
          <w:vertAlign w:val="superscript"/>
        </w:rPr>
        <w:t>2</w:t>
      </w:r>
      <w:r>
        <w:t xml:space="preserve">, umiestnenie pre  3 kusy. </w:t>
      </w:r>
      <w:r>
        <w:rPr>
          <w:b/>
        </w:rPr>
        <w:t xml:space="preserve"> </w:t>
      </w:r>
    </w:p>
    <w:p w:rsidR="00265CD8" w:rsidRDefault="00E27DD9">
      <w:pPr>
        <w:spacing w:after="9"/>
        <w:ind w:left="137" w:right="9"/>
        <w:jc w:val="left"/>
      </w:pPr>
      <w:r>
        <w:rPr>
          <w:b/>
          <w:i w:val="0"/>
        </w:rPr>
        <w:t xml:space="preserve"> 5.1.1.3. Opis spôsobu prispôsobenia sa znehybňovacieho zariadenia rozdielnym druhom  a kategóriám zabíjaných zvierat : </w:t>
      </w:r>
    </w:p>
    <w:p w:rsidR="00265CD8" w:rsidRDefault="00E27DD9">
      <w:pPr>
        <w:spacing w:after="127"/>
        <w:ind w:left="182" w:right="144"/>
      </w:pPr>
      <w:r>
        <w:t>Pr</w:t>
      </w:r>
      <w:r>
        <w:t>evádzkovateľ podrobne popíše systém, akým sa prispôsobujú jeho všetky znehybňovacie zariadenia zabíjaným druhom a kategóriám zvierat. Popis pre hovädzí dobytok teľatá, zvlášť popis pre dospelý HD, popis ako sa prispôsobí zariadenie pre zabíjanie býkom, nap</w:t>
      </w:r>
      <w:r>
        <w:t xml:space="preserve">r. Znehybnenie hlavy, západka za zadné končatiny, iný systém vo vnútornom priestore, ktorý zabraňuje zvieraťu sa otočiť, alebo pohybovať sa dopredu a dozadu.  </w:t>
      </w:r>
    </w:p>
    <w:p w:rsidR="00265CD8" w:rsidRDefault="00E27DD9">
      <w:pPr>
        <w:pStyle w:val="Nadpis1"/>
        <w:ind w:left="137" w:right="9"/>
      </w:pPr>
      <w:r>
        <w:t>5.1.1.4 Nastavenie kľúčových parametrov pre každé omračovacie zariadenie používané na schvaľovan</w:t>
      </w:r>
      <w:r>
        <w:t xml:space="preserve">ej prevádzke podľa prílohy č. 1 nariadenia Rady (ES) č. 1099/2009 </w:t>
      </w:r>
    </w:p>
    <w:p w:rsidR="00265CD8" w:rsidRDefault="00E27DD9">
      <w:pPr>
        <w:ind w:left="182" w:right="144"/>
      </w:pPr>
      <w:r>
        <w:t>Prevádzkovateľ podrobne vyplní všetky kľúčové parametre k omračovacím zariadeniam , ktoré na svojej prevádzke používa vzhľadom na druhy a kategórie zabíjaných zvierat. Do tabuľky sa vpíše d</w:t>
      </w:r>
      <w:r>
        <w:t xml:space="preserve">ruh zvierat k jednotlivému druhu omračovania: mechanické, elektrické alebo plynové . Do druhého stĺpca sa vpíšu hodnoty určených kľúčových parametrov , ktoré sa nastavia vo vašej prevádzke podľa prílohy č. 1 nariadenia vlády 1099/2009 a návodov výrobcu.  </w:t>
      </w:r>
    </w:p>
    <w:p w:rsidR="00265CD8" w:rsidRDefault="00E27DD9">
      <w:pPr>
        <w:spacing w:after="18" w:line="259" w:lineRule="auto"/>
        <w:ind w:left="187" w:right="0" w:firstLine="0"/>
        <w:jc w:val="left"/>
      </w:pPr>
      <w:r>
        <w:t xml:space="preserve"> </w:t>
      </w:r>
    </w:p>
    <w:p w:rsidR="00265CD8" w:rsidRDefault="00E27DD9">
      <w:pPr>
        <w:pStyle w:val="Nadpis1"/>
        <w:spacing w:after="42"/>
        <w:ind w:left="137" w:right="9"/>
      </w:pPr>
      <w:r>
        <w:t xml:space="preserve">Časť 5.3 Podrobnosti o činnostiach, ktoré sa budú v prevádzkarni, ktorá žiada o schválenie, vykonávať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Uvedie sa skutočný počet osôb podieľajúcich sa na predpísaných úkonoch 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Uvedie sa meno určenej osoby zodpovednej za kontrolu účinnosti omračovania na </w:t>
      </w:r>
      <w:r>
        <w:t xml:space="preserve">reprezentatívnej vzorke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Vyplní sa iba v prípade, ak prevádzkovateľ  už má vedomosť o tom, že bude v budúcnosti zabíjať zvieratá rituálnym spôsobom 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>Fyzické usporiadanie bitúnku – základná informácia o  vykládke zvierat, o spôsobe  jej vykonania, popis ra</w:t>
      </w:r>
      <w:r>
        <w:t xml:space="preserve">mpy z pohľadu jej zabezpečenia bočným zábradlím a jej sklonu, ktorý musí byť menší ako 20 stupňov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Preháňanie zvierat- vyznačia sa tie odpovede, ktoré sú v súlade so skutočným stavom na prevádzke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>Ustajnenie zvierat - zaškrtnú sa tie odpovede, ktoré sú v s</w:t>
      </w:r>
      <w:r>
        <w:t xml:space="preserve">úlade s reálnym stavom na bitúnku, ak bitúnok disponuje s čakacími ohradami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Podrobnosti o mieste znehybňovania, označia sa tie prípady, ktoré sú na prevádzke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 xml:space="preserve">Zaškrtnú sa tie spôsoby manipulácie so  zvieraťom neschopným pohybu, ktoré sa na prevádzke budú </w:t>
      </w:r>
      <w:r>
        <w:t xml:space="preserve">vykonávať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>Omračovanie - potvrdí sa, že v mieste omračovania bude náhradné zariadenie, že je na prístroj v prípade elektrického alebo plynového zariadenia vidieť a dajú sa z miesta omráčenia odčítať nastavené kľúčové parametre, v prípade poruchy pri elektr</w:t>
      </w:r>
      <w:r>
        <w:t xml:space="preserve">ickom vodnom kúpeli je možné elektrické omračovacie zariadenie vypnúť  </w:t>
      </w:r>
    </w:p>
    <w:p w:rsidR="00265CD8" w:rsidRDefault="00E27DD9">
      <w:pPr>
        <w:numPr>
          <w:ilvl w:val="0"/>
          <w:numId w:val="4"/>
        </w:numPr>
        <w:ind w:right="144" w:hanging="360"/>
      </w:pPr>
      <w:r>
        <w:t>Vykrvenie - potvrdí sa spôsob, ktorý sa na prevádzke bude vykonávať .  Ak je určená osoba na kontrolu dodržiavania času od omráčenia po vykrvenie na prevádzke, štvorček sa  zaškrtne, a</w:t>
      </w:r>
      <w:r>
        <w:t xml:space="preserve">k nie je taká osoba určená, nebude sa zaškrtávať nič. </w:t>
      </w:r>
    </w:p>
    <w:p w:rsidR="00265CD8" w:rsidRDefault="00E27DD9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sectPr w:rsidR="00265CD8">
      <w:footerReference w:type="even" r:id="rId7"/>
      <w:footerReference w:type="default" r:id="rId8"/>
      <w:footerReference w:type="first" r:id="rId9"/>
      <w:pgSz w:w="11906" w:h="16838"/>
      <w:pgMar w:top="953" w:right="1261" w:bottom="1449" w:left="1275" w:header="708" w:footer="6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D9" w:rsidRDefault="00E27DD9">
      <w:pPr>
        <w:spacing w:after="0" w:line="240" w:lineRule="auto"/>
      </w:pPr>
      <w:r>
        <w:separator/>
      </w:r>
    </w:p>
  </w:endnote>
  <w:endnote w:type="continuationSeparator" w:id="0">
    <w:p w:rsidR="00E27DD9" w:rsidRDefault="00E2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D8" w:rsidRDefault="00E27DD9">
    <w:pPr>
      <w:spacing w:after="0" w:line="259" w:lineRule="auto"/>
      <w:ind w:left="0" w:right="4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                                      </w:t>
    </w:r>
  </w:p>
  <w:p w:rsidR="00265CD8" w:rsidRDefault="00E27DD9">
    <w:pPr>
      <w:tabs>
        <w:tab w:val="center" w:pos="4678"/>
        <w:tab w:val="right" w:pos="9370"/>
      </w:tabs>
      <w:spacing w:after="0" w:line="259" w:lineRule="auto"/>
      <w:ind w:left="0" w:right="0" w:firstLine="0"/>
      <w:jc w:val="left"/>
    </w:pPr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</w:r>
    <w:r>
      <w:rPr>
        <w:b/>
        <w:i w:val="0"/>
        <w:color w:val="A6A6A6"/>
        <w:sz w:val="22"/>
      </w:rPr>
      <w:t>ŠVPS-Ž-Dodatok NB-AW</w:t>
    </w:r>
    <w:r>
      <w:rPr>
        <w:i w:val="0"/>
        <w:sz w:val="22"/>
      </w:rPr>
      <w:t xml:space="preserve"> </w:t>
    </w:r>
  </w:p>
  <w:p w:rsidR="00265CD8" w:rsidRDefault="00E27DD9">
    <w:pPr>
      <w:spacing w:after="0" w:line="259" w:lineRule="auto"/>
      <w:ind w:left="142" w:right="0" w:firstLine="0"/>
      <w:jc w:val="left"/>
    </w:pPr>
    <w:r>
      <w:rPr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D8" w:rsidRDefault="00E27DD9">
    <w:pPr>
      <w:spacing w:after="0" w:line="259" w:lineRule="auto"/>
      <w:ind w:left="0" w:right="4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AC2" w:rsidRPr="00506AC2">
      <w:rPr>
        <w:i w:val="0"/>
        <w:noProof/>
        <w:sz w:val="22"/>
      </w:rPr>
      <w:t>7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                                      </w:t>
    </w:r>
  </w:p>
  <w:p w:rsidR="00265CD8" w:rsidRDefault="00E27DD9">
    <w:pPr>
      <w:tabs>
        <w:tab w:val="center" w:pos="4678"/>
        <w:tab w:val="right" w:pos="9370"/>
      </w:tabs>
      <w:spacing w:after="0" w:line="259" w:lineRule="auto"/>
      <w:ind w:left="0" w:right="0" w:firstLine="0"/>
      <w:jc w:val="left"/>
    </w:pPr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</w:r>
    <w:r>
      <w:rPr>
        <w:b/>
        <w:i w:val="0"/>
        <w:color w:val="A6A6A6"/>
        <w:sz w:val="22"/>
      </w:rPr>
      <w:t>ŠVPS-Ž-Dodatok NB-AW</w:t>
    </w:r>
    <w:r>
      <w:rPr>
        <w:i w:val="0"/>
        <w:sz w:val="22"/>
      </w:rPr>
      <w:t xml:space="preserve"> </w:t>
    </w:r>
  </w:p>
  <w:p w:rsidR="00265CD8" w:rsidRDefault="00E27DD9">
    <w:pPr>
      <w:spacing w:after="0" w:line="259" w:lineRule="auto"/>
      <w:ind w:left="142" w:right="0" w:firstLine="0"/>
      <w:jc w:val="left"/>
    </w:pPr>
    <w:r>
      <w:rPr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D8" w:rsidRDefault="00E27DD9">
    <w:pPr>
      <w:spacing w:after="0" w:line="259" w:lineRule="auto"/>
      <w:ind w:left="0" w:right="4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                                      </w:t>
    </w:r>
  </w:p>
  <w:p w:rsidR="00265CD8" w:rsidRDefault="00E27DD9">
    <w:pPr>
      <w:tabs>
        <w:tab w:val="center" w:pos="4678"/>
        <w:tab w:val="right" w:pos="9370"/>
      </w:tabs>
      <w:spacing w:after="0" w:line="259" w:lineRule="auto"/>
      <w:ind w:left="0" w:right="0" w:firstLine="0"/>
      <w:jc w:val="left"/>
    </w:pPr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</w:r>
    <w:r>
      <w:rPr>
        <w:b/>
        <w:i w:val="0"/>
        <w:color w:val="A6A6A6"/>
        <w:sz w:val="22"/>
      </w:rPr>
      <w:t>ŠVPS-Ž-Dodatok NB-AW</w:t>
    </w:r>
    <w:r>
      <w:rPr>
        <w:i w:val="0"/>
        <w:sz w:val="22"/>
      </w:rPr>
      <w:t xml:space="preserve"> </w:t>
    </w:r>
  </w:p>
  <w:p w:rsidR="00265CD8" w:rsidRDefault="00E27DD9">
    <w:pPr>
      <w:spacing w:after="0" w:line="259" w:lineRule="auto"/>
      <w:ind w:left="142" w:right="0" w:firstLine="0"/>
      <w:jc w:val="left"/>
    </w:pPr>
    <w:r>
      <w:rPr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D9" w:rsidRDefault="00E27DD9">
      <w:pPr>
        <w:spacing w:after="0" w:line="240" w:lineRule="auto"/>
      </w:pPr>
      <w:r>
        <w:separator/>
      </w:r>
    </w:p>
  </w:footnote>
  <w:footnote w:type="continuationSeparator" w:id="0">
    <w:p w:rsidR="00E27DD9" w:rsidRDefault="00E2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D02"/>
    <w:multiLevelType w:val="hybridMultilevel"/>
    <w:tmpl w:val="346C7DC2"/>
    <w:lvl w:ilvl="0" w:tplc="156671C2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45304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A720E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CEBB0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81B6A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08B0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461DE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E4DDE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EF86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B65F2"/>
    <w:multiLevelType w:val="hybridMultilevel"/>
    <w:tmpl w:val="966C22F4"/>
    <w:lvl w:ilvl="0" w:tplc="6E482D02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C0292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27FE0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CE77E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0BE3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42C76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CD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C64E68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03E5E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94E84"/>
    <w:multiLevelType w:val="hybridMultilevel"/>
    <w:tmpl w:val="CA84DAE4"/>
    <w:lvl w:ilvl="0" w:tplc="0024DAFA">
      <w:start w:val="8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A94F0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09B6C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25ADE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E41E0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6359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4E72C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2BB86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E5136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63F62"/>
    <w:multiLevelType w:val="hybridMultilevel"/>
    <w:tmpl w:val="8B7CAE92"/>
    <w:lvl w:ilvl="0" w:tplc="CB003EF6">
      <w:start w:val="1"/>
      <w:numFmt w:val="bullet"/>
      <w:lvlText w:val="-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09088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4FB3A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09E82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EA680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AB52C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006CA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C0C70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21C30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8"/>
    <w:rsid w:val="00265CD8"/>
    <w:rsid w:val="00506AC2"/>
    <w:rsid w:val="00E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37F"/>
  <w15:docId w15:val="{D2754447-1941-47D3-B73A-6513FE0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68" w:lineRule="auto"/>
      <w:ind w:left="152" w:right="156" w:hanging="10"/>
      <w:jc w:val="both"/>
    </w:pPr>
    <w:rPr>
      <w:rFonts w:ascii="Calibri" w:eastAsia="Calibri" w:hAnsi="Calibri" w:cs="Calibri"/>
      <w:i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" w:line="268" w:lineRule="auto"/>
      <w:ind w:left="197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cp:lastModifiedBy>Virgalová Michaela MVDr.</cp:lastModifiedBy>
  <cp:revision>2</cp:revision>
  <dcterms:created xsi:type="dcterms:W3CDTF">2023-03-29T07:32:00Z</dcterms:created>
  <dcterms:modified xsi:type="dcterms:W3CDTF">2023-03-29T07:32:00Z</dcterms:modified>
</cp:coreProperties>
</file>