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A0" w:rsidRDefault="002F0BA0">
      <w:pPr>
        <w:widowControl/>
        <w:overflowPunct/>
        <w:autoSpaceDE/>
        <w:autoSpaceDN/>
        <w:adjustRightInd/>
        <w:spacing w:after="160" w:line="259" w:lineRule="auto"/>
        <w:textAlignment w:val="auto"/>
        <w:rPr>
          <w:rFonts w:asciiTheme="minorHAnsi" w:hAnsiTheme="minorHAnsi"/>
          <w:sz w:val="24"/>
          <w:szCs w:val="24"/>
        </w:rPr>
      </w:pPr>
      <w:bookmarkStart w:id="0" w:name="_GoBack"/>
      <w:bookmarkEnd w:id="0"/>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 xml:space="preserve"> Z M L U V A     č.</w:t>
      </w:r>
      <w:r w:rsidR="00005A66">
        <w:rPr>
          <w:rFonts w:asciiTheme="minorHAnsi" w:hAnsiTheme="minorHAnsi"/>
          <w:sz w:val="24"/>
          <w:szCs w:val="24"/>
        </w:rPr>
        <w:t xml:space="preserve"> </w:t>
      </w:r>
      <w:r w:rsidR="000209EB">
        <w:rPr>
          <w:rFonts w:asciiTheme="minorHAnsi" w:hAnsiTheme="minorHAnsi"/>
          <w:sz w:val="24"/>
          <w:szCs w:val="24"/>
        </w:rPr>
        <w:t>..........</w:t>
      </w: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 xml:space="preserve">uzatvorená v zmysle § 269 ods. 2 zákona č. 513/1991 Zb. </w:t>
      </w: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Obchodného zákonníka v znení neskorších predpisov.</w:t>
      </w: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p>
    <w:p w:rsidR="003C35F8" w:rsidRPr="007141DC" w:rsidRDefault="003C35F8" w:rsidP="003C35F8">
      <w:pPr>
        <w:keepNext/>
        <w:jc w:val="center"/>
        <w:rPr>
          <w:rFonts w:asciiTheme="minorHAnsi" w:hAnsiTheme="minorHAnsi"/>
          <w:sz w:val="24"/>
          <w:szCs w:val="24"/>
        </w:rPr>
      </w:pPr>
      <w:r w:rsidRPr="007141DC">
        <w:rPr>
          <w:rFonts w:asciiTheme="minorHAnsi" w:hAnsiTheme="minorHAnsi"/>
          <w:sz w:val="24"/>
          <w:szCs w:val="24"/>
        </w:rPr>
        <w:t>I.</w:t>
      </w:r>
    </w:p>
    <w:p w:rsidR="003C35F8" w:rsidRPr="007141DC" w:rsidRDefault="003C35F8" w:rsidP="003C35F8">
      <w:pPr>
        <w:pStyle w:val="Nadpis4"/>
        <w:widowControl/>
        <w:tabs>
          <w:tab w:val="clear" w:pos="3555"/>
        </w:tabs>
        <w:ind w:left="0" w:firstLine="0"/>
        <w:jc w:val="center"/>
        <w:rPr>
          <w:rFonts w:asciiTheme="minorHAnsi" w:hAnsiTheme="minorHAnsi"/>
          <w:szCs w:val="24"/>
        </w:rPr>
      </w:pPr>
      <w:r w:rsidRPr="007141DC">
        <w:rPr>
          <w:rFonts w:asciiTheme="minorHAnsi" w:hAnsiTheme="minorHAnsi"/>
          <w:szCs w:val="24"/>
        </w:rPr>
        <w:t>Zmluvné strany</w:t>
      </w:r>
    </w:p>
    <w:p w:rsidR="003C35F8" w:rsidRPr="007141DC" w:rsidRDefault="003C35F8" w:rsidP="003C35F8">
      <w:pPr>
        <w:rPr>
          <w:rFonts w:asciiTheme="minorHAnsi" w:hAnsiTheme="minorHAnsi"/>
        </w:rPr>
      </w:pPr>
    </w:p>
    <w:p w:rsidR="003C35F8" w:rsidRPr="007141DC" w:rsidRDefault="003C35F8" w:rsidP="003C35F8">
      <w:pPr>
        <w:keepNext/>
        <w:jc w:val="both"/>
        <w:rPr>
          <w:rFonts w:asciiTheme="minorHAnsi" w:hAnsiTheme="minorHAnsi"/>
          <w:sz w:val="24"/>
          <w:szCs w:val="24"/>
        </w:rPr>
      </w:pPr>
    </w:p>
    <w:p w:rsidR="003C35F8" w:rsidRPr="007141DC" w:rsidRDefault="003C35F8" w:rsidP="003C35F8">
      <w:pPr>
        <w:keepNext/>
        <w:jc w:val="both"/>
        <w:rPr>
          <w:rFonts w:asciiTheme="minorHAnsi" w:hAnsiTheme="minorHAnsi"/>
          <w:b/>
          <w:sz w:val="24"/>
          <w:szCs w:val="24"/>
        </w:rPr>
      </w:pPr>
      <w:r w:rsidRPr="007141DC">
        <w:rPr>
          <w:rFonts w:asciiTheme="minorHAnsi" w:hAnsiTheme="minorHAnsi"/>
          <w:b/>
          <w:sz w:val="24"/>
          <w:szCs w:val="24"/>
        </w:rPr>
        <w:t xml:space="preserve">Posudzovateľ  </w:t>
      </w:r>
    </w:p>
    <w:p w:rsidR="00AF28B8" w:rsidRDefault="00AF28B8" w:rsidP="003C35F8">
      <w:pPr>
        <w:keepNext/>
        <w:jc w:val="both"/>
        <w:rPr>
          <w:rFonts w:asciiTheme="minorHAnsi" w:hAnsiTheme="minorHAnsi"/>
          <w:sz w:val="24"/>
          <w:szCs w:val="24"/>
        </w:rPr>
      </w:pPr>
      <w:r>
        <w:rPr>
          <w:rFonts w:asciiTheme="minorHAnsi" w:hAnsiTheme="minorHAnsi"/>
          <w:sz w:val="24"/>
          <w:szCs w:val="24"/>
        </w:rPr>
        <w:t>názov:</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Štátna veterinárna a potravinová správa Slovenskej republiky</w:t>
      </w:r>
    </w:p>
    <w:p w:rsidR="003C35F8" w:rsidRPr="007141DC" w:rsidRDefault="003C35F8" w:rsidP="00AF28B8">
      <w:pPr>
        <w:keepNext/>
        <w:ind w:left="1416" w:firstLine="708"/>
        <w:jc w:val="both"/>
        <w:rPr>
          <w:rFonts w:asciiTheme="minorHAnsi" w:hAnsiTheme="minorHAnsi"/>
          <w:sz w:val="24"/>
          <w:szCs w:val="24"/>
        </w:rPr>
      </w:pPr>
      <w:r w:rsidRPr="007141DC">
        <w:rPr>
          <w:rFonts w:asciiTheme="minorHAnsi" w:hAnsiTheme="minorHAnsi"/>
          <w:sz w:val="24"/>
          <w:szCs w:val="24"/>
        </w:rPr>
        <w:t>certifikačný orgán pre poľnohospodárske a potravinárske výrobky</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zastúpený:</w:t>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 xml:space="preserve">ústredným riaditeľom ŠVPS SR </w:t>
      </w:r>
      <w:r w:rsidR="007141DC" w:rsidRPr="007141DC">
        <w:rPr>
          <w:rFonts w:asciiTheme="minorHAnsi" w:hAnsiTheme="minorHAnsi"/>
          <w:sz w:val="24"/>
          <w:szCs w:val="24"/>
        </w:rPr>
        <w:t>prof. MVDr. Jozefom Bírešom, DrSc.</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sídlo: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Botanická 17, 842 13 Bratislava</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IČO: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7141DC">
        <w:rPr>
          <w:rFonts w:asciiTheme="minorHAnsi" w:hAnsiTheme="minorHAnsi"/>
          <w:sz w:val="24"/>
          <w:szCs w:val="24"/>
        </w:rPr>
        <w:t>156 426</w:t>
      </w:r>
    </w:p>
    <w:p w:rsidR="003C35F8" w:rsidRPr="007141DC" w:rsidRDefault="00AF28B8" w:rsidP="003C35F8">
      <w:pPr>
        <w:keepNext/>
        <w:jc w:val="both"/>
        <w:rPr>
          <w:rFonts w:asciiTheme="minorHAnsi" w:hAnsiTheme="minorHAnsi"/>
          <w:sz w:val="24"/>
          <w:szCs w:val="24"/>
        </w:rPr>
      </w:pPr>
      <w:r>
        <w:rPr>
          <w:rFonts w:asciiTheme="minorHAnsi" w:hAnsiTheme="minorHAnsi"/>
          <w:sz w:val="24"/>
          <w:szCs w:val="24"/>
        </w:rPr>
        <w:t>bankové spojenie:</w:t>
      </w:r>
      <w:r>
        <w:rPr>
          <w:rFonts w:asciiTheme="minorHAnsi" w:hAnsiTheme="minorHAnsi"/>
          <w:sz w:val="24"/>
          <w:szCs w:val="24"/>
        </w:rPr>
        <w:tab/>
      </w:r>
      <w:r w:rsidR="003C35F8" w:rsidRPr="007141DC">
        <w:rPr>
          <w:rFonts w:asciiTheme="minorHAnsi" w:hAnsiTheme="minorHAnsi"/>
          <w:sz w:val="24"/>
          <w:szCs w:val="24"/>
        </w:rPr>
        <w:t>Štátna pokladnica</w:t>
      </w:r>
    </w:p>
    <w:p w:rsidR="003C35F8" w:rsidRPr="007141DC" w:rsidRDefault="00265F82" w:rsidP="003C35F8">
      <w:pPr>
        <w:keepNext/>
        <w:jc w:val="both"/>
        <w:rPr>
          <w:rFonts w:asciiTheme="minorHAnsi" w:hAnsiTheme="minorHAnsi"/>
          <w:sz w:val="24"/>
          <w:szCs w:val="24"/>
        </w:rPr>
      </w:pPr>
      <w:r w:rsidRPr="00265F82">
        <w:rPr>
          <w:rFonts w:asciiTheme="minorHAnsi" w:hAnsiTheme="minorHAnsi"/>
          <w:sz w:val="24"/>
          <w:szCs w:val="24"/>
        </w:rPr>
        <w:t xml:space="preserve">IBAN: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265F82">
        <w:rPr>
          <w:rFonts w:asciiTheme="minorHAnsi" w:hAnsiTheme="minorHAnsi"/>
          <w:sz w:val="24"/>
          <w:szCs w:val="24"/>
        </w:rPr>
        <w:t>SK36 8180 0000 0070 0006 8162</w:t>
      </w:r>
    </w:p>
    <w:p w:rsidR="003C35F8" w:rsidRPr="007141DC" w:rsidRDefault="003C35F8" w:rsidP="003C35F8">
      <w:pPr>
        <w:keepNext/>
        <w:rPr>
          <w:rFonts w:asciiTheme="minorHAnsi" w:hAnsiTheme="minorHAnsi"/>
          <w:sz w:val="24"/>
          <w:szCs w:val="24"/>
        </w:rPr>
      </w:pP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(ďalej len „posudzovateľ“)</w:t>
      </w: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p>
    <w:p w:rsidR="003C35F8" w:rsidRPr="007141DC" w:rsidRDefault="003C35F8" w:rsidP="003C35F8">
      <w:pPr>
        <w:keepNext/>
        <w:jc w:val="both"/>
        <w:rPr>
          <w:rFonts w:asciiTheme="minorHAnsi" w:hAnsiTheme="minorHAnsi"/>
          <w:b/>
          <w:sz w:val="24"/>
          <w:szCs w:val="24"/>
        </w:rPr>
      </w:pPr>
      <w:r w:rsidRPr="007141DC">
        <w:rPr>
          <w:rFonts w:asciiTheme="minorHAnsi" w:hAnsiTheme="minorHAnsi"/>
          <w:b/>
          <w:sz w:val="24"/>
          <w:szCs w:val="24"/>
        </w:rPr>
        <w:t>Žiadateľ</w:t>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obchodný názov:</w:t>
      </w:r>
      <w:r w:rsidR="00FC70C1">
        <w:rPr>
          <w:rFonts w:asciiTheme="minorHAnsi" w:hAnsiTheme="minorHAnsi"/>
          <w:sz w:val="24"/>
          <w:szCs w:val="24"/>
        </w:rPr>
        <w:tab/>
        <w:t>.......................................................</w:t>
      </w:r>
      <w:r w:rsidR="00265F82">
        <w:rPr>
          <w:rFonts w:asciiTheme="minorHAnsi" w:hAnsiTheme="minorHAnsi"/>
          <w:sz w:val="24"/>
          <w:szCs w:val="24"/>
        </w:rPr>
        <w:tab/>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sídlo:</w:t>
      </w:r>
      <w:r w:rsidR="00FC70C1">
        <w:rPr>
          <w:rFonts w:asciiTheme="minorHAnsi" w:hAnsiTheme="minorHAnsi"/>
          <w:sz w:val="24"/>
          <w:szCs w:val="24"/>
        </w:rPr>
        <w:tab/>
      </w:r>
      <w:r w:rsidR="00FC70C1">
        <w:rPr>
          <w:rFonts w:asciiTheme="minorHAnsi" w:hAnsiTheme="minorHAnsi"/>
          <w:sz w:val="24"/>
          <w:szCs w:val="24"/>
        </w:rPr>
        <w:tab/>
      </w:r>
      <w:r w:rsidR="00FC70C1">
        <w:rPr>
          <w:rFonts w:asciiTheme="minorHAnsi" w:hAnsiTheme="minorHAnsi"/>
          <w:sz w:val="24"/>
          <w:szCs w:val="24"/>
        </w:rPr>
        <w:tab/>
        <w:t>.......................................................</w:t>
      </w:r>
      <w:r w:rsidR="00265F82">
        <w:rPr>
          <w:rFonts w:asciiTheme="minorHAnsi" w:hAnsiTheme="minorHAnsi"/>
          <w:sz w:val="24"/>
          <w:szCs w:val="24"/>
        </w:rPr>
        <w:tab/>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právna forma:</w:t>
      </w:r>
      <w:r w:rsidR="00FC70C1">
        <w:rPr>
          <w:rFonts w:asciiTheme="minorHAnsi" w:hAnsiTheme="minorHAnsi"/>
          <w:sz w:val="24"/>
          <w:szCs w:val="24"/>
        </w:rPr>
        <w:tab/>
      </w:r>
      <w:r w:rsidR="00FC70C1">
        <w:rPr>
          <w:rFonts w:asciiTheme="minorHAnsi" w:hAnsiTheme="minorHAnsi"/>
          <w:sz w:val="24"/>
          <w:szCs w:val="24"/>
        </w:rPr>
        <w:tab/>
        <w: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C35F8" w:rsidRPr="00FC70C1">
        <w:rPr>
          <w:rFonts w:asciiTheme="minorHAnsi" w:hAnsiTheme="minorHAnsi"/>
          <w:sz w:val="24"/>
          <w:szCs w:val="24"/>
        </w:rPr>
        <w:t>IČO:</w:t>
      </w:r>
      <w:r w:rsidRPr="00FC70C1">
        <w:rPr>
          <w:rFonts w:asciiTheme="minorHAnsi" w:hAnsiTheme="minorHAnsi"/>
          <w:sz w:val="24"/>
          <w:szCs w:val="24"/>
        </w:rPr>
        <w:t xml:space="preserve"> </w:t>
      </w:r>
      <w:r w:rsidR="00FC70C1">
        <w:rPr>
          <w:rFonts w:asciiTheme="minorHAnsi" w:hAnsiTheme="minorHAnsi"/>
          <w:sz w:val="24"/>
          <w:szCs w:val="24"/>
        </w:rPr>
        <w:t>.........................</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bankové spojenie:</w:t>
      </w:r>
      <w:r w:rsidR="00FC70C1">
        <w:rPr>
          <w:rFonts w:asciiTheme="minorHAnsi" w:hAnsiTheme="minorHAnsi"/>
          <w:sz w:val="24"/>
          <w:szCs w:val="24"/>
        </w:rPr>
        <w:tab/>
        <w:t>.......................................................</w:t>
      </w:r>
      <w:r>
        <w:rPr>
          <w:rFonts w:asciiTheme="minorHAnsi" w:hAnsiTheme="minorHAnsi"/>
          <w:sz w:val="24"/>
          <w:szCs w:val="24"/>
        </w:rPr>
        <w:tab/>
      </w:r>
      <w:r w:rsidR="00FC70C1">
        <w:rPr>
          <w:rFonts w:asciiTheme="minorHAnsi" w:hAnsiTheme="minorHAnsi"/>
          <w:sz w:val="24"/>
          <w:szCs w:val="24"/>
        </w:rPr>
        <w:tab/>
      </w:r>
      <w:r w:rsidR="00FC70C1">
        <w:rPr>
          <w:rFonts w:asciiTheme="minorHAnsi" w:hAnsiTheme="minorHAnsi"/>
          <w:sz w:val="24"/>
          <w:szCs w:val="24"/>
        </w:rPr>
        <w:tab/>
      </w:r>
      <w:r w:rsidR="003C35F8" w:rsidRPr="007141DC">
        <w:rPr>
          <w:rFonts w:asciiTheme="minorHAnsi" w:hAnsiTheme="minorHAnsi"/>
          <w:sz w:val="24"/>
          <w:szCs w:val="24"/>
        </w:rPr>
        <w:t>číslo účtu:</w:t>
      </w:r>
      <w:r w:rsidR="00FC70C1">
        <w:rPr>
          <w:rFonts w:asciiTheme="minorHAnsi" w:hAnsiTheme="minorHAnsi"/>
          <w:sz w:val="24"/>
          <w:szCs w:val="24"/>
        </w:rPr>
        <w:t xml:space="preserve"> ................</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štatutárny zástupca:</w:t>
      </w:r>
      <w:r>
        <w:rPr>
          <w:rFonts w:asciiTheme="minorHAnsi" w:hAnsiTheme="minorHAnsi"/>
          <w:sz w:val="24"/>
          <w:szCs w:val="24"/>
        </w:rPr>
        <w:tab/>
      </w:r>
      <w:r w:rsidR="00FC70C1">
        <w:rPr>
          <w:rFonts w:asciiTheme="minorHAnsi" w:hAnsiTheme="minorHAnsi"/>
          <w:sz w:val="24"/>
          <w:szCs w:val="24"/>
        </w:rPr>
        <w:t>.......................................................</w:t>
      </w:r>
    </w:p>
    <w:p w:rsidR="003C35F8" w:rsidRPr="007141DC" w:rsidRDefault="003C35F8" w:rsidP="003C35F8">
      <w:pPr>
        <w:keepNext/>
        <w:jc w:val="both"/>
        <w:rPr>
          <w:rFonts w:asciiTheme="minorHAnsi" w:hAnsiTheme="minorHAnsi"/>
          <w:sz w:val="24"/>
          <w:szCs w:val="24"/>
        </w:rPr>
      </w:pPr>
      <w:r w:rsidRPr="007141DC">
        <w:rPr>
          <w:rFonts w:asciiTheme="minorHAnsi" w:hAnsiTheme="minorHAnsi"/>
          <w:sz w:val="24"/>
          <w:szCs w:val="24"/>
        </w:rPr>
        <w:t>splnomocnenec:</w:t>
      </w:r>
      <w:r w:rsidR="00FC70C1">
        <w:rPr>
          <w:rFonts w:asciiTheme="minorHAnsi" w:hAnsiTheme="minorHAnsi"/>
          <w:sz w:val="24"/>
          <w:szCs w:val="24"/>
        </w:rPr>
        <w:tab/>
        <w:t>.......................................................</w:t>
      </w:r>
    </w:p>
    <w:p w:rsidR="003C35F8" w:rsidRPr="007141DC" w:rsidRDefault="00265F82" w:rsidP="003C35F8">
      <w:pPr>
        <w:keepNext/>
        <w:jc w:val="both"/>
        <w:rPr>
          <w:rFonts w:asciiTheme="minorHAnsi" w:hAnsiTheme="minorHAnsi"/>
          <w:sz w:val="24"/>
          <w:szCs w:val="24"/>
        </w:rPr>
      </w:pPr>
      <w:r>
        <w:rPr>
          <w:rFonts w:asciiTheme="minorHAnsi" w:hAnsiTheme="minorHAnsi"/>
          <w:sz w:val="24"/>
          <w:szCs w:val="24"/>
        </w:rPr>
        <w:t>meno, priezvisko:</w:t>
      </w:r>
      <w:r>
        <w:rPr>
          <w:rFonts w:asciiTheme="minorHAnsi" w:hAnsiTheme="minorHAnsi"/>
          <w:sz w:val="24"/>
          <w:szCs w:val="24"/>
        </w:rPr>
        <w:tab/>
      </w:r>
      <w:r w:rsidR="00FC70C1">
        <w:rPr>
          <w:rFonts w:asciiTheme="minorHAnsi" w:hAnsiTheme="minorHAnsi"/>
          <w:sz w:val="24"/>
          <w:szCs w:val="24"/>
        </w:rPr>
        <w:t>.......................................................</w:t>
      </w:r>
    </w:p>
    <w:p w:rsidR="003C35F8" w:rsidRDefault="003C35F8" w:rsidP="003C35F8">
      <w:pPr>
        <w:keepNext/>
        <w:jc w:val="both"/>
        <w:rPr>
          <w:rFonts w:asciiTheme="minorHAnsi" w:hAnsiTheme="minorHAnsi"/>
          <w:sz w:val="24"/>
          <w:szCs w:val="24"/>
        </w:rPr>
      </w:pPr>
      <w:r w:rsidRPr="007141DC">
        <w:rPr>
          <w:rFonts w:asciiTheme="minorHAnsi" w:hAnsiTheme="minorHAnsi"/>
          <w:sz w:val="24"/>
          <w:szCs w:val="24"/>
        </w:rPr>
        <w:t>trvalé bydlisko:</w:t>
      </w:r>
      <w:r w:rsidR="00265F82">
        <w:rPr>
          <w:rFonts w:asciiTheme="minorHAnsi" w:hAnsiTheme="minorHAnsi"/>
          <w:sz w:val="24"/>
          <w:szCs w:val="24"/>
        </w:rPr>
        <w:tab/>
      </w:r>
      <w:r w:rsidR="00FC70C1">
        <w:rPr>
          <w:rFonts w:asciiTheme="minorHAnsi" w:hAnsiTheme="minorHAnsi"/>
          <w:sz w:val="24"/>
          <w:szCs w:val="24"/>
        </w:rPr>
        <w:t>.......................................................</w:t>
      </w:r>
    </w:p>
    <w:p w:rsidR="00FC70C1" w:rsidRPr="007141DC" w:rsidRDefault="00FC70C1" w:rsidP="003C35F8">
      <w:pPr>
        <w:keepNext/>
        <w:jc w:val="both"/>
        <w:rPr>
          <w:rFonts w:asciiTheme="minorHAnsi" w:hAnsiTheme="minorHAnsi"/>
          <w:sz w:val="24"/>
          <w:szCs w:val="24"/>
        </w:rPr>
      </w:pPr>
    </w:p>
    <w:p w:rsidR="003C35F8" w:rsidRPr="007141DC" w:rsidRDefault="003C35F8" w:rsidP="007141DC">
      <w:pPr>
        <w:keepNext/>
        <w:jc w:val="both"/>
        <w:rPr>
          <w:rFonts w:asciiTheme="minorHAnsi" w:hAnsiTheme="minorHAnsi"/>
          <w:sz w:val="24"/>
          <w:szCs w:val="24"/>
        </w:rPr>
      </w:pPr>
      <w:r w:rsidRPr="007141DC">
        <w:rPr>
          <w:rFonts w:asciiTheme="minorHAnsi" w:hAnsiTheme="minorHAnsi"/>
          <w:sz w:val="24"/>
          <w:szCs w:val="24"/>
        </w:rPr>
        <w:t>(ďalej len „žiadateľ“)</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II.</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Predmet zmluvy</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widowControl/>
        <w:overflowPunct/>
        <w:jc w:val="both"/>
        <w:textAlignment w:val="auto"/>
        <w:rPr>
          <w:rFonts w:asciiTheme="minorHAnsi" w:hAnsiTheme="minorHAnsi"/>
          <w:sz w:val="24"/>
          <w:szCs w:val="24"/>
        </w:rPr>
      </w:pPr>
      <w:r w:rsidRPr="007141DC">
        <w:rPr>
          <w:rFonts w:asciiTheme="minorHAnsi" w:hAnsiTheme="minorHAnsi"/>
          <w:sz w:val="24"/>
          <w:szCs w:val="24"/>
        </w:rPr>
        <w:t>Predmetom tejto zmluvy je overovanie dodržiavania špecifikácie poľnohospodárskeho výrobku alebo potraviny.</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lastRenderedPageBreak/>
        <w:t>III.</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Povinnosti a práva zmluvných strán</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1. Posudzovateľ</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sa zaväzuje zistiť na náklady žiadateľa, či vlastnosti výrobku zodpovedajú ustanoveniam zákona č.</w:t>
      </w:r>
      <w:r w:rsidR="00F40ADF">
        <w:rPr>
          <w:rFonts w:asciiTheme="minorHAnsi" w:hAnsiTheme="minorHAnsi"/>
          <w:sz w:val="24"/>
          <w:szCs w:val="24"/>
        </w:rPr>
        <w:t xml:space="preserve"> </w:t>
      </w:r>
      <w:r w:rsidRPr="007141DC">
        <w:rPr>
          <w:rFonts w:asciiTheme="minorHAnsi" w:hAnsiTheme="minorHAnsi"/>
          <w:sz w:val="24"/>
          <w:szCs w:val="24"/>
        </w:rPr>
        <w:t xml:space="preserve">152/1995 Z. z. o potravinách v znení neskorších predpisov, Potravinovému kódexu, európskej legislatíve a iným technickým predpisom označeným žiadateľom. Posudzovateľ vykoná posúdenie zhody výrobku na základe predloženej žiadosti najdlhšie do 15 dní od </w:t>
      </w:r>
      <w:proofErr w:type="spellStart"/>
      <w:r w:rsidRPr="007141DC">
        <w:rPr>
          <w:rFonts w:asciiTheme="minorHAnsi" w:hAnsiTheme="minorHAnsi"/>
          <w:sz w:val="24"/>
          <w:szCs w:val="24"/>
        </w:rPr>
        <w:t>obdržania</w:t>
      </w:r>
      <w:proofErr w:type="spellEnd"/>
      <w:r w:rsidRPr="007141DC">
        <w:rPr>
          <w:rFonts w:asciiTheme="minorHAnsi" w:hAnsiTheme="minorHAnsi"/>
          <w:sz w:val="24"/>
          <w:szCs w:val="24"/>
        </w:rPr>
        <w:t xml:space="preserve"> kompletnej požadovanej dokumentácie.</w:t>
      </w:r>
    </w:p>
    <w:p w:rsidR="003C35F8" w:rsidRPr="007141DC" w:rsidRDefault="003C35F8" w:rsidP="003C35F8">
      <w:pPr>
        <w:tabs>
          <w:tab w:val="left" w:pos="360"/>
        </w:tabs>
        <w:jc w:val="both"/>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je zodpovedný za riadenie všetkých informácií získaných alebo vytvorených počas výkonu certifikačných činností. Okrem informácií, ktoré klient zverejňuje, sú všetky ostatné informácie považované za dôverné. Posudzovateľ vopred oboznámi klienta s informáciami, ktoré má v úmysle zverejniť.</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Ak od posudzovateľa  vyžaduje sprístupnenie dôverných informácií zákon alebo právne vymožiteľná zmluva, klient alebo dotknutá osoba sú informovaní o takomto poskytnutí informácie, pokiaľ to nie je zakázané zákonom.</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1"/>
        </w:numPr>
        <w:jc w:val="both"/>
        <w:rPr>
          <w:rFonts w:asciiTheme="minorHAnsi" w:hAnsiTheme="minorHAnsi"/>
          <w:sz w:val="24"/>
          <w:szCs w:val="24"/>
        </w:rPr>
      </w:pPr>
      <w:r w:rsidRPr="007141DC">
        <w:rPr>
          <w:rFonts w:asciiTheme="minorHAnsi" w:hAnsiTheme="minorHAnsi"/>
          <w:sz w:val="24"/>
          <w:szCs w:val="24"/>
        </w:rPr>
        <w:t>Posudzovateľ si vyhradzuje právo oznámiť príslušným orgánom štátnej správy obchodné meno a sídlo žiadateľa, prípadne ďalšie identifikačné údaje týkajúce sa žiadateľa alebo výrobku v prípadoch, ak by bolo zo všetkých okolností zrejmé, že umiestnením výrobku na trh by mohol byť ohrozený oprávnený záujem (zdravie, bezp</w:t>
      </w:r>
      <w:r w:rsidR="00F40ADF">
        <w:rPr>
          <w:rFonts w:asciiTheme="minorHAnsi" w:hAnsiTheme="minorHAnsi"/>
          <w:sz w:val="24"/>
          <w:szCs w:val="24"/>
        </w:rPr>
        <w:t xml:space="preserve">ečnosť alebo majetok osôb, </w:t>
      </w:r>
      <w:r w:rsidRPr="007141DC">
        <w:rPr>
          <w:rFonts w:asciiTheme="minorHAnsi" w:hAnsiTheme="minorHAnsi"/>
          <w:sz w:val="24"/>
          <w:szCs w:val="24"/>
        </w:rPr>
        <w:t>životné prostredie</w:t>
      </w:r>
      <w:r w:rsidR="007B2A98">
        <w:rPr>
          <w:rFonts w:asciiTheme="minorHAnsi" w:hAnsiTheme="minorHAnsi"/>
          <w:sz w:val="24"/>
          <w:szCs w:val="24"/>
        </w:rPr>
        <w:t>).</w:t>
      </w:r>
      <w:r w:rsidR="00F40ADF">
        <w:rPr>
          <w:rFonts w:asciiTheme="minorHAnsi" w:hAnsiTheme="minorHAnsi"/>
          <w:sz w:val="24"/>
          <w:szCs w:val="24"/>
        </w:rPr>
        <w:t xml:space="preserve"> </w:t>
      </w:r>
      <w:r w:rsidR="007B2A98">
        <w:rPr>
          <w:rFonts w:asciiTheme="minorHAnsi" w:hAnsiTheme="minorHAnsi"/>
          <w:sz w:val="24"/>
          <w:szCs w:val="24"/>
        </w:rPr>
        <w:t xml:space="preserve">Oznámenie sa </w:t>
      </w:r>
      <w:r w:rsidR="007B2A98" w:rsidRPr="003D41F2">
        <w:rPr>
          <w:rFonts w:asciiTheme="minorHAnsi" w:hAnsiTheme="minorHAnsi"/>
          <w:sz w:val="24"/>
          <w:szCs w:val="24"/>
        </w:rPr>
        <w:t xml:space="preserve">riadi </w:t>
      </w:r>
      <w:r w:rsidR="00F40ADF" w:rsidRPr="003D41F2">
        <w:rPr>
          <w:rFonts w:asciiTheme="minorHAnsi" w:hAnsiTheme="minorHAnsi"/>
          <w:sz w:val="24"/>
          <w:szCs w:val="24"/>
        </w:rPr>
        <w:t>ustanovenia</w:t>
      </w:r>
      <w:r w:rsidR="007B2A98" w:rsidRPr="003D41F2">
        <w:rPr>
          <w:rFonts w:asciiTheme="minorHAnsi" w:hAnsiTheme="minorHAnsi"/>
          <w:sz w:val="24"/>
          <w:szCs w:val="24"/>
        </w:rPr>
        <w:t>mi</w:t>
      </w:r>
      <w:r w:rsidR="00F40ADF" w:rsidRPr="003D41F2">
        <w:rPr>
          <w:rFonts w:asciiTheme="minorHAnsi" w:hAnsiTheme="minorHAnsi"/>
          <w:sz w:val="24"/>
          <w:szCs w:val="24"/>
        </w:rPr>
        <w:t xml:space="preserve"> zákona č. 152/1995 Z. z. o potravinách v znení neskorších predpisov, Potravinového kódexu, európskej legislatívy a iných technických predpisov</w:t>
      </w:r>
      <w:r w:rsidRPr="003D41F2">
        <w:rPr>
          <w:rFonts w:asciiTheme="minorHAnsi" w:hAnsiTheme="minorHAnsi"/>
          <w:sz w:val="24"/>
          <w:szCs w:val="24"/>
        </w:rPr>
        <w:t xml:space="preserve"> v  súlade so zákonom</w:t>
      </w:r>
      <w:r w:rsidRPr="007141DC">
        <w:rPr>
          <w:rFonts w:asciiTheme="minorHAnsi" w:hAnsiTheme="minorHAnsi"/>
          <w:sz w:val="24"/>
          <w:szCs w:val="24"/>
        </w:rPr>
        <w:t xml:space="preserve"> NR SR č. 211/2000 Z. z. o slobodnom prístupe k informáciám a o zmene a doplnení niektorých zákonov v znení neskorších predpisov. </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2"/>
        </w:numPr>
        <w:jc w:val="both"/>
        <w:rPr>
          <w:rFonts w:asciiTheme="minorHAnsi" w:hAnsiTheme="minorHAnsi"/>
          <w:sz w:val="24"/>
          <w:szCs w:val="24"/>
        </w:rPr>
      </w:pPr>
      <w:r w:rsidRPr="007141DC">
        <w:rPr>
          <w:rFonts w:asciiTheme="minorHAnsi" w:hAnsiTheme="minorHAnsi"/>
          <w:sz w:val="24"/>
          <w:szCs w:val="24"/>
        </w:rPr>
        <w:t xml:space="preserve">Posudzovateľ má právo odmietnuť vydať certifikát výrobku žiadateľovi, ktorý neuhradil cenu v zmysle článku IV. tejto zmluvy. </w:t>
      </w:r>
    </w:p>
    <w:p w:rsidR="003C35F8" w:rsidRPr="007141DC" w:rsidRDefault="003C35F8" w:rsidP="003C35F8">
      <w:pPr>
        <w:rPr>
          <w:rFonts w:asciiTheme="minorHAnsi" w:hAnsiTheme="minorHAnsi"/>
          <w:sz w:val="24"/>
          <w:szCs w:val="24"/>
        </w:rPr>
      </w:pPr>
    </w:p>
    <w:p w:rsidR="003C35F8" w:rsidRPr="007141DC" w:rsidRDefault="003C35F8" w:rsidP="003C35F8">
      <w:pPr>
        <w:numPr>
          <w:ilvl w:val="0"/>
          <w:numId w:val="2"/>
        </w:numPr>
        <w:jc w:val="both"/>
        <w:rPr>
          <w:rFonts w:asciiTheme="minorHAnsi" w:hAnsiTheme="minorHAnsi"/>
          <w:sz w:val="24"/>
          <w:szCs w:val="24"/>
        </w:rPr>
      </w:pPr>
      <w:r w:rsidRPr="007141DC">
        <w:rPr>
          <w:rFonts w:asciiTheme="minorHAnsi" w:hAnsiTheme="minorHAnsi"/>
          <w:sz w:val="24"/>
          <w:szCs w:val="24"/>
        </w:rPr>
        <w:t>Posudzovateľ vykoná overovanie dodržiavania špecifikácie poľnohospodárskeho výrobku alebo potraviny – dohľad - na náklady žiadateľa raz za 12 mesiacov.</w:t>
      </w:r>
    </w:p>
    <w:p w:rsidR="003C35F8" w:rsidRPr="007141DC" w:rsidRDefault="003C35F8" w:rsidP="003C35F8">
      <w:pPr>
        <w:pStyle w:val="Zkladntext"/>
        <w:jc w:val="both"/>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je oprávnený prerušiť prácu na posudzovaní zhody, ak sa vplyvom náhodných a nepredvídaných okolností znemožní posudzovateľovi vykonať posúdenie zhody. Posudzovateľ o tejto skutočnosti bezodkladne informuje žiadateľa.</w:t>
      </w:r>
    </w:p>
    <w:p w:rsidR="003C35F8" w:rsidRPr="007141DC" w:rsidRDefault="003C35F8" w:rsidP="003C35F8">
      <w:pPr>
        <w:pStyle w:val="Zkladntext"/>
        <w:jc w:val="both"/>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má právo vrátiť žiadosť na posúdenie zhody výrobku spolu s príslušnou predloženou dokumentáciou v prípade, že na výzvu posudzovateľa o predloženie dokumentácie žiadateľ nereaguje v lehote v nej uvedenej.</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Posudzovateľ sa zaväzuje oznámiť žiadateľovi preukázateľným spôsobom akékoľvek zmeny týkajúce sa požiadaviek na certifikáciu. Oznámenie o zmenách bude obsahovať:</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dokument, na základe ktorého sú zmeny požadované</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 xml:space="preserve">popis požadovaných zmien  </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lastRenderedPageBreak/>
        <w:t>termín, odkedy nadobudnú požadované zmeny účinnosť</w:t>
      </w:r>
    </w:p>
    <w:p w:rsidR="003C35F8" w:rsidRPr="007141DC" w:rsidRDefault="003C35F8" w:rsidP="003C35F8">
      <w:pPr>
        <w:pStyle w:val="Zkladntext"/>
        <w:numPr>
          <w:ilvl w:val="0"/>
          <w:numId w:val="7"/>
        </w:numPr>
        <w:jc w:val="both"/>
        <w:rPr>
          <w:rFonts w:asciiTheme="minorHAnsi" w:hAnsiTheme="minorHAnsi"/>
          <w:szCs w:val="24"/>
        </w:rPr>
      </w:pPr>
      <w:r w:rsidRPr="007141DC">
        <w:rPr>
          <w:rFonts w:asciiTheme="minorHAnsi" w:hAnsiTheme="minorHAnsi"/>
          <w:szCs w:val="24"/>
        </w:rPr>
        <w:t>spôsob, akým bude skontrolované vykonanie zmien</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2"/>
        </w:numPr>
        <w:jc w:val="both"/>
        <w:rPr>
          <w:rFonts w:asciiTheme="minorHAnsi" w:hAnsiTheme="minorHAnsi"/>
          <w:szCs w:val="24"/>
        </w:rPr>
      </w:pPr>
      <w:r w:rsidRPr="007141DC">
        <w:rPr>
          <w:rFonts w:asciiTheme="minorHAnsi" w:hAnsiTheme="minorHAnsi"/>
          <w:szCs w:val="24"/>
        </w:rPr>
        <w:t xml:space="preserve">Posudzovateľ má právo uverejniť informáciu o vydanom certifikáte na internetovej stránke ŠVPS SR a poskytnúť tieto údaje Ministerstvu pôdohospodárstva a rozvoja vidieka SR pre účely zverejnenia na jeho webovej stránke v rozsahu: </w:t>
      </w:r>
    </w:p>
    <w:p w:rsidR="003C35F8" w:rsidRPr="007141DC" w:rsidRDefault="003C35F8" w:rsidP="003C35F8">
      <w:pPr>
        <w:pStyle w:val="Odsekzoznamu"/>
        <w:rPr>
          <w:rFonts w:asciiTheme="minorHAnsi" w:hAnsiTheme="minorHAnsi"/>
          <w:szCs w:val="24"/>
        </w:rPr>
      </w:pP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číslo a dátum vydania certifikátu </w:t>
      </w: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obchodné meno a sídlo klienta </w:t>
      </w:r>
    </w:p>
    <w:p w:rsidR="003C35F8" w:rsidRPr="007141DC" w:rsidRDefault="003C35F8" w:rsidP="003C35F8">
      <w:pPr>
        <w:pStyle w:val="Zkladntext"/>
        <w:numPr>
          <w:ilvl w:val="0"/>
          <w:numId w:val="5"/>
        </w:numPr>
        <w:jc w:val="both"/>
        <w:rPr>
          <w:rFonts w:asciiTheme="minorHAnsi" w:hAnsiTheme="minorHAnsi"/>
          <w:szCs w:val="24"/>
        </w:rPr>
      </w:pPr>
      <w:r w:rsidRPr="007141DC">
        <w:rPr>
          <w:rFonts w:asciiTheme="minorHAnsi" w:hAnsiTheme="minorHAnsi"/>
          <w:szCs w:val="24"/>
        </w:rPr>
        <w:t xml:space="preserve">identifikácia produktu (názov produktu, tak ako je zapísaný v registri EÚ a skupina do ktorej je zaradený z pohľadu registra EÚ pre výrobky s chráneným označením) </w:t>
      </w: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r w:rsidRPr="007141DC">
        <w:rPr>
          <w:rFonts w:asciiTheme="minorHAnsi" w:hAnsiTheme="minorHAnsi"/>
          <w:sz w:val="24"/>
          <w:szCs w:val="24"/>
        </w:rPr>
        <w:t>2. Žiadateľ</w:t>
      </w:r>
    </w:p>
    <w:p w:rsidR="003C35F8" w:rsidRPr="007141DC" w:rsidRDefault="003C35F8" w:rsidP="003C35F8">
      <w:pPr>
        <w:rPr>
          <w:rFonts w:asciiTheme="minorHAnsi" w:hAnsiTheme="minorHAnsi"/>
          <w:sz w:val="24"/>
          <w:szCs w:val="24"/>
        </w:rPr>
      </w:pPr>
    </w:p>
    <w:p w:rsidR="003C35F8" w:rsidRPr="007141DC" w:rsidRDefault="003C35F8" w:rsidP="003C35F8">
      <w:pPr>
        <w:numPr>
          <w:ilvl w:val="0"/>
          <w:numId w:val="3"/>
        </w:numPr>
        <w:rPr>
          <w:rFonts w:asciiTheme="minorHAnsi" w:hAnsiTheme="minorHAnsi"/>
          <w:sz w:val="24"/>
          <w:szCs w:val="24"/>
        </w:rPr>
      </w:pPr>
      <w:r w:rsidRPr="007141DC">
        <w:rPr>
          <w:rFonts w:asciiTheme="minorHAnsi" w:hAnsiTheme="minorHAnsi"/>
          <w:sz w:val="24"/>
          <w:szCs w:val="24"/>
        </w:rPr>
        <w:t>Žiadateľ sa zaväzuje, že pravdivo vyplní všetky údaje v  predloženom formulári (žiadosti)</w:t>
      </w:r>
    </w:p>
    <w:p w:rsidR="003C35F8" w:rsidRPr="003D41F2" w:rsidRDefault="003C35F8" w:rsidP="003D41F2">
      <w:pPr>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poskytne tie posudzovateľom žiadané údaje o výrobku, ktoré sú nevyhnutné na posúdenie zhody výrobku v rozsahu ním určenom, formou dokumentácie.</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pokiaľ mu certifikačný orgán oznámi zmeny týkajúce sa certifikácie (pozri III. 1. g) ), tieto zmeny prijme a bude aplikovať v požadovanom rozsahu.</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zabezpečí všetky nevyhnutné opatrenia na umožnenie:</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1"/>
          <w:numId w:val="4"/>
        </w:numPr>
        <w:tabs>
          <w:tab w:val="clear" w:pos="1477"/>
        </w:tabs>
        <w:ind w:left="1560"/>
        <w:jc w:val="both"/>
        <w:rPr>
          <w:rFonts w:asciiTheme="minorHAnsi" w:hAnsiTheme="minorHAnsi"/>
          <w:sz w:val="24"/>
          <w:szCs w:val="24"/>
        </w:rPr>
      </w:pPr>
      <w:r w:rsidRPr="007141DC">
        <w:rPr>
          <w:rFonts w:asciiTheme="minorHAnsi" w:hAnsiTheme="minorHAnsi"/>
          <w:sz w:val="24"/>
          <w:szCs w:val="24"/>
        </w:rPr>
        <w:t xml:space="preserve">vykonania vyhodnotenia a dozoru, vrátane preskúmania dokumentácie a záznamov a prístupu k príslušnému vybaveniu, k pracoviskám a priestorom, k pracovníkom a k subdodávateľom;  </w:t>
      </w:r>
    </w:p>
    <w:p w:rsidR="003C35F8" w:rsidRPr="007141DC" w:rsidRDefault="003C35F8" w:rsidP="003C35F8">
      <w:pPr>
        <w:pStyle w:val="Odsekzoznamu"/>
        <w:widowControl/>
        <w:numPr>
          <w:ilvl w:val="1"/>
          <w:numId w:val="4"/>
        </w:numPr>
        <w:ind w:left="1560"/>
        <w:jc w:val="both"/>
        <w:rPr>
          <w:rFonts w:asciiTheme="minorHAnsi" w:hAnsiTheme="minorHAnsi"/>
          <w:sz w:val="24"/>
          <w:szCs w:val="24"/>
        </w:rPr>
      </w:pPr>
      <w:r w:rsidRPr="007141DC">
        <w:rPr>
          <w:rFonts w:asciiTheme="minorHAnsi" w:hAnsiTheme="minorHAnsi"/>
          <w:sz w:val="24"/>
          <w:szCs w:val="24"/>
        </w:rPr>
        <w:t xml:space="preserve"> preskúmania sťažností;</w:t>
      </w:r>
    </w:p>
    <w:p w:rsidR="003C35F8" w:rsidRPr="007141DC" w:rsidRDefault="003C35F8" w:rsidP="003C35F8">
      <w:pPr>
        <w:pStyle w:val="Odsekzoznamu"/>
        <w:widowControl/>
        <w:numPr>
          <w:ilvl w:val="1"/>
          <w:numId w:val="4"/>
        </w:numPr>
        <w:ind w:left="1560"/>
        <w:jc w:val="both"/>
        <w:rPr>
          <w:rFonts w:asciiTheme="minorHAnsi" w:hAnsiTheme="minorHAnsi"/>
          <w:sz w:val="24"/>
          <w:szCs w:val="24"/>
        </w:rPr>
      </w:pPr>
      <w:r w:rsidRPr="007141DC">
        <w:rPr>
          <w:rFonts w:asciiTheme="minorHAnsi" w:hAnsiTheme="minorHAnsi"/>
          <w:sz w:val="24"/>
          <w:szCs w:val="24"/>
        </w:rPr>
        <w:t> účasti pozorovateľov, ak je to potrebné;</w:t>
      </w:r>
    </w:p>
    <w:p w:rsidR="003C35F8" w:rsidRPr="007141DC" w:rsidRDefault="003C35F8" w:rsidP="003C35F8">
      <w:pPr>
        <w:widowControl/>
        <w:ind w:left="1080"/>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sa bude odvolávať na certifikáciu v súlade s predmetom certifikácie.</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že svoju certifikáciu produktu nepoužije spôsobom narušujúcim povesť certifikačného orgánu a neurobí žiadne vyhlásenie, ktoré by certifikačný orgán mohol považovať za zavádzajúce alebo neoprávnené.</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0"/>
          <w:numId w:val="3"/>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 xml:space="preserve">Žiadateľ sa zaväzuje, že po pozastavení, zrušení alebo ukončení certifikácie prestane používať všetky reklamné materiály, ktoré obsahujú akúkoľvek zmienku o certifikácii a na požiadanie certifikačného orgánu vráti certifikačnú dokumentáciu a prijme ďalšie požadované opatrenia. </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Ak bude žiadateľ poskytovať kópie certifikačných dokumentov, tieto sa musia poskytovať v plnom rozsahu.</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Pri citovaní certifikovaného produktu v oznamovacích prostriedkoch bude žiadateľ konať podľa požiadaviek certifikačného orgánu. </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lastRenderedPageBreak/>
        <w:t>Žiadateľ prehlasuje, že je v súlade so všetkými požiadavkami, ktoré sú predpísané v certifikačnej schéme a s informáciami vzťahujúcimi sa na produkt.</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pStyle w:val="Odsekzoznamu"/>
        <w:widowControl/>
        <w:numPr>
          <w:ilvl w:val="0"/>
          <w:numId w:val="3"/>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 xml:space="preserve">Žiadateľ uchováva záznamy o všetkých predložených sťažnostiach, ktoré sa týkajú zhody produktu s požiadavkami certifikácie a tieto záznamy na požiadanie poskytuje certifikačnému orgánu; a </w:t>
      </w:r>
    </w:p>
    <w:p w:rsidR="003C35F8" w:rsidRPr="007141DC" w:rsidRDefault="003C35F8" w:rsidP="003C35F8">
      <w:pPr>
        <w:widowControl/>
        <w:overflowPunct/>
        <w:autoSpaceDE/>
        <w:autoSpaceDN/>
        <w:adjustRightInd/>
        <w:ind w:left="1080"/>
        <w:jc w:val="both"/>
        <w:textAlignment w:val="auto"/>
        <w:rPr>
          <w:rFonts w:asciiTheme="minorHAnsi" w:hAnsiTheme="minorHAnsi"/>
          <w:sz w:val="24"/>
          <w:szCs w:val="24"/>
        </w:rPr>
      </w:pPr>
    </w:p>
    <w:p w:rsidR="003C35F8" w:rsidRPr="007141DC" w:rsidRDefault="003C35F8" w:rsidP="003C35F8">
      <w:pPr>
        <w:pStyle w:val="Odsekzoznamu"/>
        <w:widowControl/>
        <w:numPr>
          <w:ilvl w:val="0"/>
          <w:numId w:val="8"/>
        </w:numPr>
        <w:overflowPunct/>
        <w:autoSpaceDE/>
        <w:autoSpaceDN/>
        <w:adjustRightInd/>
        <w:jc w:val="both"/>
        <w:textAlignment w:val="auto"/>
        <w:rPr>
          <w:rFonts w:asciiTheme="minorHAnsi" w:hAnsiTheme="minorHAnsi"/>
          <w:sz w:val="24"/>
          <w:szCs w:val="24"/>
        </w:rPr>
      </w:pPr>
      <w:r w:rsidRPr="007141DC">
        <w:rPr>
          <w:rFonts w:asciiTheme="minorHAnsi" w:hAnsiTheme="minorHAnsi"/>
          <w:sz w:val="24"/>
          <w:szCs w:val="24"/>
        </w:rPr>
        <w:t>prijme primerané opatrenia vzhľadom na takéto sťažnosti a na akékoľvek zistené nedostatky na produktoch, ktoré ovplyvňujú dodržiavanie požiadaviek na certifikáciu;</w:t>
      </w:r>
    </w:p>
    <w:p w:rsidR="003C35F8" w:rsidRPr="007141DC" w:rsidRDefault="003C35F8" w:rsidP="003C35F8">
      <w:pPr>
        <w:numPr>
          <w:ilvl w:val="0"/>
          <w:numId w:val="8"/>
        </w:numPr>
        <w:jc w:val="both"/>
        <w:rPr>
          <w:rFonts w:asciiTheme="minorHAnsi" w:hAnsiTheme="minorHAnsi"/>
          <w:sz w:val="24"/>
          <w:szCs w:val="24"/>
        </w:rPr>
      </w:pPr>
      <w:r w:rsidRPr="007141DC">
        <w:rPr>
          <w:rFonts w:asciiTheme="minorHAnsi" w:hAnsiTheme="minorHAnsi"/>
          <w:sz w:val="24"/>
          <w:szCs w:val="24"/>
        </w:rPr>
        <w:t>zdokumentuje vykonané činnosti</w:t>
      </w:r>
    </w:p>
    <w:p w:rsidR="003C35F8" w:rsidRPr="007141DC" w:rsidRDefault="003C35F8" w:rsidP="003C35F8">
      <w:pPr>
        <w:pStyle w:val="Odsekzoznamu"/>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Žiadateľ sa zaväzuje, že bude bezodkladne informovať certifikačný orgán o zmenách, ktoré majú vplyv na zhodu s požiadavkami certifikácie a to najmä o: </w:t>
      </w:r>
    </w:p>
    <w:p w:rsidR="003C35F8" w:rsidRPr="007141DC" w:rsidRDefault="003C35F8" w:rsidP="003C35F8">
      <w:pPr>
        <w:ind w:left="360"/>
        <w:jc w:val="both"/>
        <w:rPr>
          <w:rFonts w:asciiTheme="minorHAnsi" w:hAnsiTheme="minorHAnsi"/>
          <w:sz w:val="24"/>
          <w:szCs w:val="24"/>
        </w:rPr>
      </w:pP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zmene právneho a obchodného postavenia</w:t>
      </w:r>
      <w:r w:rsidRPr="007141DC" w:rsidDel="00F402F4">
        <w:rPr>
          <w:rFonts w:asciiTheme="minorHAnsi" w:hAnsiTheme="minorHAnsi"/>
          <w:sz w:val="24"/>
          <w:szCs w:val="24"/>
        </w:rPr>
        <w:t xml:space="preserve"> </w:t>
      </w:r>
      <w:r w:rsidRPr="007141DC">
        <w:rPr>
          <w:rFonts w:asciiTheme="minorHAnsi" w:hAnsiTheme="minorHAnsi"/>
          <w:sz w:val="24"/>
          <w:szCs w:val="24"/>
        </w:rPr>
        <w:t>a organizačnej alebo vlastníckej štruktúry,</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 xml:space="preserve">zmene štatutárneho zástupcu alebo splnomocnenca organizácie, </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úprave produktu alebo technológie výroby,</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zmene kontaktnej adresy a adresy výrobných závodov,</w:t>
      </w:r>
    </w:p>
    <w:p w:rsidR="003C35F8" w:rsidRPr="007141DC" w:rsidRDefault="003C35F8" w:rsidP="003C35F8">
      <w:pPr>
        <w:pStyle w:val="Odsekzoznamu"/>
        <w:numPr>
          <w:ilvl w:val="0"/>
          <w:numId w:val="6"/>
        </w:numPr>
        <w:jc w:val="both"/>
        <w:rPr>
          <w:rFonts w:asciiTheme="minorHAnsi" w:hAnsiTheme="minorHAnsi"/>
          <w:sz w:val="24"/>
          <w:szCs w:val="24"/>
        </w:rPr>
      </w:pPr>
      <w:r w:rsidRPr="007141DC">
        <w:rPr>
          <w:rFonts w:asciiTheme="minorHAnsi" w:hAnsiTheme="minorHAnsi"/>
          <w:sz w:val="24"/>
          <w:szCs w:val="24"/>
        </w:rPr>
        <w:t>významných zmenách v systéme manažérstva kvality.</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Žiadateľ sa zaväzuje posudzovateľovi zaplatiť cenu podľa článku IV. tejto zmluvy na základe faktúry vystavenej posudzovateľom. Posudzovateľ vystaví faktúru po vykonaní overovania dodržiavania špecifikácie poľnohospodárskych výrobkov. Splatnosť faktúry je 15 dní od jej doručenia žiadateľovi. V prípade, že žiadateľ neuhradí faktúru v lehote splatnosti, je posudzovateľ oprávnený požadovať od žiadateľa úroky z omeškania vo výške 0,05 % z ceny podľa článku IV. tejto zmluvy za každý aj začatý deň omeškania.</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szCs w:val="24"/>
        </w:rPr>
        <w:t xml:space="preserve">Žiadateľ sa v prípade výpovede zo strany žiadateľa alebo vrátenia žiadosti podľa článku III. ods. 1 písm. f tejto zmluvy zaväzuje uhradiť posudzovateľovi cenu v zmysle článku IV. tejto zmluvy. </w:t>
      </w:r>
    </w:p>
    <w:p w:rsidR="003C35F8" w:rsidRPr="007141DC" w:rsidRDefault="003C35F8" w:rsidP="003C35F8">
      <w:pPr>
        <w:jc w:val="both"/>
        <w:rPr>
          <w:rFonts w:asciiTheme="minorHAnsi" w:hAnsiTheme="minorHAnsi"/>
          <w:sz w:val="24"/>
          <w:szCs w:val="24"/>
        </w:rPr>
      </w:pPr>
    </w:p>
    <w:p w:rsidR="003C35F8" w:rsidRPr="007141DC" w:rsidRDefault="003C35F8" w:rsidP="003C35F8">
      <w:pPr>
        <w:numPr>
          <w:ilvl w:val="0"/>
          <w:numId w:val="3"/>
        </w:numPr>
        <w:jc w:val="both"/>
        <w:rPr>
          <w:rFonts w:asciiTheme="minorHAnsi" w:hAnsiTheme="minorHAnsi"/>
          <w:sz w:val="24"/>
          <w:szCs w:val="24"/>
        </w:rPr>
      </w:pPr>
      <w:r w:rsidRPr="007141DC">
        <w:rPr>
          <w:rFonts w:asciiTheme="minorHAnsi" w:hAnsiTheme="minorHAnsi"/>
          <w:sz w:val="24"/>
        </w:rPr>
        <w:t>Žiadateľ týmto dáva súhlas na vykonanie práce formou subdodávky.</w:t>
      </w:r>
    </w:p>
    <w:p w:rsidR="003C35F8" w:rsidRPr="007141DC" w:rsidRDefault="003C35F8" w:rsidP="003C35F8">
      <w:pPr>
        <w:ind w:left="284" w:firstLine="76"/>
        <w:jc w:val="both"/>
        <w:rPr>
          <w:rFonts w:asciiTheme="minorHAnsi" w:hAnsiTheme="minorHAnsi"/>
          <w:sz w:val="24"/>
          <w:szCs w:val="24"/>
        </w:rPr>
      </w:pPr>
      <w:r w:rsidRPr="007141DC">
        <w:rPr>
          <w:rFonts w:asciiTheme="minorHAnsi" w:hAnsiTheme="minorHAnsi"/>
          <w:sz w:val="24"/>
        </w:rPr>
        <w:t xml:space="preserve">Skúšky vykoná akreditované skúšobné laboratórium: </w:t>
      </w:r>
      <w:r w:rsidR="00FC70C1">
        <w:rPr>
          <w:rFonts w:asciiTheme="minorHAnsi" w:hAnsiTheme="minorHAnsi"/>
          <w:sz w:val="24"/>
        </w:rPr>
        <w:t>.............................................</w:t>
      </w:r>
    </w:p>
    <w:p w:rsidR="003C35F8" w:rsidRPr="007141DC" w:rsidRDefault="003C35F8" w:rsidP="003C35F8">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IV.</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Ceny</w:t>
      </w:r>
    </w:p>
    <w:p w:rsidR="003C35F8" w:rsidRPr="007141DC" w:rsidRDefault="003C35F8" w:rsidP="007141DC">
      <w:pPr>
        <w:rPr>
          <w:rFonts w:asciiTheme="minorHAnsi" w:hAnsiTheme="minorHAnsi"/>
          <w:sz w:val="24"/>
          <w:szCs w:val="24"/>
        </w:rPr>
      </w:pPr>
    </w:p>
    <w:p w:rsidR="003C35F8" w:rsidRPr="007141DC" w:rsidRDefault="003C35F8" w:rsidP="003C35F8">
      <w:pPr>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Cena za jednotlivé činnosti pri overovaní dodržiavania špecifikácie výrobku sa skladá z 2 častí:</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1. Posúdenie zhody a vystavenie záverečného dokumentu</w:t>
      </w:r>
      <w:r w:rsidRPr="007141DC">
        <w:rPr>
          <w:rFonts w:asciiTheme="minorHAnsi" w:hAnsiTheme="minorHAnsi"/>
          <w:sz w:val="24"/>
          <w:szCs w:val="24"/>
        </w:rPr>
        <w:tab/>
      </w:r>
      <w:r w:rsidRPr="007141DC">
        <w:rPr>
          <w:rFonts w:asciiTheme="minorHAnsi" w:hAnsiTheme="minorHAnsi"/>
          <w:sz w:val="24"/>
          <w:szCs w:val="24"/>
        </w:rPr>
        <w:tab/>
        <w:t xml:space="preserve">    49,79  €</w:t>
      </w: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2. Inšpekcia výrobného procesu a odber vzorky</w:t>
      </w:r>
    </w:p>
    <w:p w:rsidR="003C35F8" w:rsidRPr="007141DC" w:rsidRDefault="003C35F8" w:rsidP="003C35F8">
      <w:pPr>
        <w:ind w:left="284"/>
        <w:jc w:val="both"/>
        <w:rPr>
          <w:rFonts w:asciiTheme="minorHAnsi" w:hAnsiTheme="minorHAnsi"/>
          <w:sz w:val="24"/>
          <w:szCs w:val="24"/>
        </w:rPr>
      </w:pPr>
      <w:r w:rsidRPr="007141DC">
        <w:rPr>
          <w:rFonts w:asciiTheme="minorHAnsi" w:hAnsiTheme="minorHAnsi"/>
          <w:sz w:val="24"/>
          <w:szCs w:val="24"/>
        </w:rPr>
        <w:t xml:space="preserve">Cena sa stanoví na základe počtu pracovníkov a počtu hodín potrebných na inšpekciu a odber vzorky. Cenu za hodinu práce inšpektora určuje každoročne Ministerstvo pôdohospodárstva a rozvoja vidieka Slovenskej republiky. Táto je zverejňovaná vo Vestníku Ministerstva pôdohospodárstva a rozvoja vidieka Slovenskej republiky. </w:t>
      </w:r>
    </w:p>
    <w:p w:rsidR="003C35F8" w:rsidRPr="007141DC" w:rsidRDefault="003C35F8" w:rsidP="003C35F8">
      <w:pPr>
        <w:rPr>
          <w:rFonts w:asciiTheme="minorHAnsi" w:hAnsiTheme="minorHAnsi"/>
          <w:sz w:val="24"/>
          <w:szCs w:val="24"/>
        </w:rPr>
      </w:pPr>
    </w:p>
    <w:p w:rsidR="003C35F8" w:rsidRPr="007141DC" w:rsidRDefault="003C35F8" w:rsidP="003C35F8">
      <w:pPr>
        <w:tabs>
          <w:tab w:val="left" w:pos="6733"/>
          <w:tab w:val="left" w:pos="7867"/>
        </w:tabs>
        <w:ind w:left="70"/>
        <w:rPr>
          <w:rFonts w:asciiTheme="minorHAnsi" w:hAnsiTheme="minorHAnsi"/>
          <w:sz w:val="24"/>
          <w:szCs w:val="24"/>
        </w:rPr>
      </w:pPr>
    </w:p>
    <w:p w:rsidR="003C35F8" w:rsidRPr="007141DC" w:rsidRDefault="003C35F8" w:rsidP="003C35F8">
      <w:pPr>
        <w:tabs>
          <w:tab w:val="left" w:pos="6733"/>
          <w:tab w:val="left" w:pos="7867"/>
        </w:tabs>
        <w:jc w:val="both"/>
        <w:rPr>
          <w:rFonts w:asciiTheme="minorHAnsi" w:hAnsiTheme="minorHAnsi"/>
          <w:sz w:val="24"/>
          <w:szCs w:val="24"/>
        </w:rPr>
      </w:pPr>
      <w:r w:rsidRPr="007141DC">
        <w:rPr>
          <w:rFonts w:asciiTheme="minorHAnsi" w:hAnsiTheme="minorHAnsi"/>
          <w:sz w:val="24"/>
          <w:szCs w:val="24"/>
        </w:rPr>
        <w:t xml:space="preserve">Náklady na senzorickú analýzu výrobku a laboratórny rozbor výrobku hradí žiadateľ zmluvnému laboratóriu. Cena sa stanoví podľa rozsahu skúšok a platného sadzobníka laboratórnej diagnostiky. </w:t>
      </w: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V.</w:t>
      </w:r>
    </w:p>
    <w:p w:rsidR="003C35F8" w:rsidRPr="007141DC" w:rsidRDefault="003C35F8" w:rsidP="003C35F8">
      <w:pPr>
        <w:jc w:val="center"/>
        <w:rPr>
          <w:rFonts w:asciiTheme="minorHAnsi" w:hAnsiTheme="minorHAnsi"/>
          <w:sz w:val="24"/>
          <w:szCs w:val="24"/>
        </w:rPr>
      </w:pPr>
      <w:r w:rsidRPr="007141DC">
        <w:rPr>
          <w:rFonts w:asciiTheme="minorHAnsi" w:hAnsiTheme="minorHAnsi"/>
          <w:sz w:val="24"/>
          <w:szCs w:val="24"/>
        </w:rPr>
        <w:t>Záverečné ustanovenia</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Táto zmluva nadobúda  platnosť a účinnosť dňom jej podpisu obidvoma zmluvnými stranami.</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Obe zmluvné strany sú oprávnené vypovedať zmluvu vo výpovednej lehote 1 mesiac, ktorá začne plynúť prvým dňom po doručení výpovede. </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Akékoľvek dodatky k tejto zmluve môžu byť vyhotovené iba v písomnej forme. Dodatok musí byť podpísaný obidvoma zmluvnými stranami.</w:t>
      </w: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Táto zmluva sa riadi, pokiaľ nie je uvedené inak, ustanoveniami III. časti Obchodného zákonníka. Práva a povinnosti posudzovateľa a žiadateľa v tejto zmluve neuvedené sú dané príslušnými ustanoveniami Obchodného zákonníka. </w:t>
      </w:r>
    </w:p>
    <w:p w:rsidR="003C35F8" w:rsidRPr="007141DC" w:rsidRDefault="003C35F8" w:rsidP="003C35F8">
      <w:pPr>
        <w:spacing w:after="100" w:afterAutospacing="1"/>
        <w:jc w:val="both"/>
        <w:rPr>
          <w:rFonts w:asciiTheme="minorHAnsi" w:hAnsiTheme="minorHAnsi"/>
          <w:sz w:val="24"/>
          <w:szCs w:val="24"/>
        </w:rPr>
      </w:pPr>
    </w:p>
    <w:p w:rsidR="003C35F8" w:rsidRPr="007141DC" w:rsidRDefault="003C35F8" w:rsidP="003C35F8">
      <w:pPr>
        <w:spacing w:after="100" w:afterAutospacing="1"/>
        <w:jc w:val="both"/>
        <w:rPr>
          <w:rFonts w:asciiTheme="minorHAnsi" w:hAnsiTheme="minorHAnsi"/>
          <w:sz w:val="24"/>
          <w:szCs w:val="24"/>
        </w:rPr>
      </w:pPr>
      <w:r w:rsidRPr="007141DC">
        <w:rPr>
          <w:rFonts w:asciiTheme="minorHAnsi" w:hAnsiTheme="minorHAnsi"/>
          <w:sz w:val="24"/>
          <w:szCs w:val="24"/>
        </w:rPr>
        <w:t xml:space="preserve">Táto zmluva je vyhotovená v dvoch vyhotoveniach, z ktorých po podpísaní oprávnenými osobami oboch zmluvných strán </w:t>
      </w:r>
      <w:proofErr w:type="spellStart"/>
      <w:r w:rsidRPr="007141DC">
        <w:rPr>
          <w:rFonts w:asciiTheme="minorHAnsi" w:hAnsiTheme="minorHAnsi"/>
          <w:sz w:val="24"/>
          <w:szCs w:val="24"/>
        </w:rPr>
        <w:t>obdrží</w:t>
      </w:r>
      <w:proofErr w:type="spellEnd"/>
      <w:r w:rsidRPr="007141DC">
        <w:rPr>
          <w:rFonts w:asciiTheme="minorHAnsi" w:hAnsiTheme="minorHAnsi"/>
          <w:sz w:val="24"/>
          <w:szCs w:val="24"/>
        </w:rPr>
        <w:t xml:space="preserve"> každá zo zmluvných strán jeden rovnopis, ktorý má povahu originálu.</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V ..............................., dňa</w:t>
      </w:r>
      <w:r w:rsidR="00303593">
        <w:rPr>
          <w:rFonts w:asciiTheme="minorHAnsi" w:hAnsiTheme="minorHAnsi"/>
          <w:sz w:val="24"/>
          <w:szCs w:val="24"/>
        </w:rPr>
        <w:t>..................</w:t>
      </w:r>
      <w:r w:rsidRPr="007141DC">
        <w:rPr>
          <w:rFonts w:asciiTheme="minorHAnsi" w:hAnsiTheme="minorHAnsi"/>
          <w:sz w:val="24"/>
          <w:szCs w:val="24"/>
        </w:rPr>
        <w:tab/>
        <w:t xml:space="preserve">      </w:t>
      </w:r>
      <w:r w:rsidRPr="007141DC">
        <w:rPr>
          <w:rFonts w:asciiTheme="minorHAnsi" w:hAnsiTheme="minorHAnsi"/>
          <w:sz w:val="24"/>
          <w:szCs w:val="24"/>
        </w:rPr>
        <w:tab/>
        <w:t xml:space="preserve">   V .............................., dňa ......................</w:t>
      </w: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tabs>
          <w:tab w:val="left" w:pos="916"/>
        </w:tabs>
        <w:jc w:val="both"/>
        <w:rPr>
          <w:rFonts w:asciiTheme="minorHAnsi" w:hAnsiTheme="minorHAnsi"/>
          <w:sz w:val="24"/>
          <w:szCs w:val="24"/>
        </w:rPr>
      </w:pPr>
    </w:p>
    <w:p w:rsidR="003C35F8" w:rsidRPr="007141DC" w:rsidRDefault="003C35F8" w:rsidP="003C35F8">
      <w:pPr>
        <w:tabs>
          <w:tab w:val="left" w:pos="916"/>
        </w:tabs>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p>
    <w:p w:rsidR="003C35F8" w:rsidRPr="007141DC" w:rsidRDefault="003C35F8" w:rsidP="003C35F8">
      <w:pPr>
        <w:jc w:val="both"/>
        <w:rPr>
          <w:rFonts w:asciiTheme="minorHAnsi" w:hAnsiTheme="minorHAnsi"/>
          <w:sz w:val="24"/>
          <w:szCs w:val="24"/>
        </w:rPr>
      </w:pPr>
      <w:r w:rsidRPr="007141DC">
        <w:rPr>
          <w:rFonts w:asciiTheme="minorHAnsi" w:hAnsiTheme="minorHAnsi"/>
          <w:sz w:val="24"/>
          <w:szCs w:val="24"/>
        </w:rPr>
        <w:t xml:space="preserve">           ...................................................                               ...................................................</w:t>
      </w:r>
    </w:p>
    <w:p w:rsidR="003C35F8" w:rsidRPr="007141DC" w:rsidRDefault="003C35F8" w:rsidP="003C35F8">
      <w:pPr>
        <w:jc w:val="both"/>
        <w:rPr>
          <w:rFonts w:asciiTheme="minorHAnsi" w:hAnsiTheme="minorHAnsi"/>
        </w:rPr>
      </w:pPr>
      <w:r w:rsidRPr="007141DC">
        <w:rPr>
          <w:rFonts w:asciiTheme="minorHAnsi" w:hAnsiTheme="minorHAnsi"/>
          <w:sz w:val="24"/>
          <w:szCs w:val="24"/>
        </w:rPr>
        <w:t xml:space="preserve">                     za posudzovateľa                                                           za  žiadateľa </w:t>
      </w:r>
    </w:p>
    <w:p w:rsidR="003C35F8" w:rsidRPr="007141DC" w:rsidRDefault="003C35F8">
      <w:pPr>
        <w:rPr>
          <w:rFonts w:asciiTheme="minorHAnsi" w:hAnsiTheme="minorHAnsi"/>
        </w:rPr>
      </w:pPr>
    </w:p>
    <w:sectPr w:rsidR="003C35F8" w:rsidRPr="007141DC" w:rsidSect="002F0BA0">
      <w:footerReference w:type="default" r:id="rId7"/>
      <w:endnotePr>
        <w:numFmt w:val="decimal"/>
      </w:endnotePr>
      <w:pgSz w:w="11906" w:h="16838"/>
      <w:pgMar w:top="1134"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CC" w:rsidRDefault="000E43CC">
      <w:r>
        <w:separator/>
      </w:r>
    </w:p>
  </w:endnote>
  <w:endnote w:type="continuationSeparator" w:id="0">
    <w:p w:rsidR="000E43CC" w:rsidRDefault="000E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6E" w:rsidRPr="00004565" w:rsidRDefault="00004565" w:rsidP="00004565">
    <w:pPr>
      <w:pStyle w:val="Pta"/>
      <w:rPr>
        <w:rFonts w:asciiTheme="minorHAnsi" w:hAnsiTheme="minorHAnsi"/>
        <w:sz w:val="22"/>
        <w:szCs w:val="22"/>
      </w:rPr>
    </w:pPr>
    <w:r w:rsidRPr="00AF2770">
      <w:rPr>
        <w:rFonts w:asciiTheme="minorHAnsi" w:hAnsiTheme="minorHAnsi"/>
        <w:sz w:val="22"/>
        <w:szCs w:val="22"/>
        <w:highlight w:val="yellow"/>
      </w:rPr>
      <w:t>ŠVPS SR – CV č. 2</w:t>
    </w:r>
    <w:r w:rsidR="00ED73EF" w:rsidRPr="00AF2770">
      <w:rPr>
        <w:rFonts w:asciiTheme="minorHAnsi" w:hAnsiTheme="minorHAnsi"/>
        <w:sz w:val="22"/>
        <w:szCs w:val="22"/>
        <w:highlight w:val="yellow"/>
      </w:rPr>
      <w:t>6</w:t>
    </w:r>
    <w:r w:rsidR="003D41F2">
      <w:rPr>
        <w:rFonts w:asciiTheme="minorHAnsi" w:hAnsiTheme="minorHAnsi"/>
        <w:sz w:val="22"/>
        <w:szCs w:val="22"/>
        <w:highlight w:val="yellow"/>
      </w:rPr>
      <w:t>/2</w:t>
    </w:r>
    <w:r w:rsidRPr="00004565">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CC" w:rsidRDefault="000E43CC">
      <w:r>
        <w:separator/>
      </w:r>
    </w:p>
  </w:footnote>
  <w:footnote w:type="continuationSeparator" w:id="0">
    <w:p w:rsidR="000E43CC" w:rsidRDefault="000E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07"/>
    <w:multiLevelType w:val="hybridMultilevel"/>
    <w:tmpl w:val="1D127B3C"/>
    <w:lvl w:ilvl="0" w:tplc="F4422CE6">
      <w:start w:val="4"/>
      <w:numFmt w:val="bullet"/>
      <w:lvlText w:val="-"/>
      <w:lvlJc w:val="left"/>
      <w:pPr>
        <w:ind w:left="1145" w:hanging="360"/>
      </w:pPr>
      <w:rPr>
        <w:rFonts w:ascii="Times New Roman" w:eastAsia="Times New Roman" w:hAnsi="Times New Roman" w:cs="Times New Roman"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 w15:restartNumberingAfterBreak="0">
    <w:nsid w:val="10843F82"/>
    <w:multiLevelType w:val="singleLevel"/>
    <w:tmpl w:val="FFFFFFFF"/>
    <w:lvl w:ilvl="0">
      <w:start w:val="1"/>
      <w:numFmt w:val="lowerLetter"/>
      <w:lvlText w:val="%1)"/>
      <w:lvlJc w:val="left"/>
      <w:pPr>
        <w:tabs>
          <w:tab w:val="num" w:pos="397"/>
        </w:tabs>
        <w:ind w:left="397" w:hanging="397"/>
      </w:pPr>
      <w:rPr>
        <w:rFonts w:hint="default"/>
        <w:vertAlign w:val="baseline"/>
      </w:rPr>
    </w:lvl>
  </w:abstractNum>
  <w:abstractNum w:abstractNumId="2" w15:restartNumberingAfterBreak="0">
    <w:nsid w:val="17A67176"/>
    <w:multiLevelType w:val="hybridMultilevel"/>
    <w:tmpl w:val="3BAC98B0"/>
    <w:lvl w:ilvl="0" w:tplc="058ADA6E">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77"/>
        </w:tabs>
        <w:ind w:left="1477" w:hanging="397"/>
      </w:pPr>
      <w:rPr>
        <w:rFonts w:hint="default"/>
        <w:vertAlign w:val="baseli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AB67AB6"/>
    <w:multiLevelType w:val="hybridMultilevel"/>
    <w:tmpl w:val="E800E364"/>
    <w:lvl w:ilvl="0" w:tplc="F4422CE6">
      <w:start w:val="4"/>
      <w:numFmt w:val="bullet"/>
      <w:lvlText w:val="-"/>
      <w:lvlJc w:val="left"/>
      <w:pPr>
        <w:ind w:left="1068" w:hanging="360"/>
      </w:pPr>
      <w:rPr>
        <w:rFonts w:ascii="Times New Roman" w:eastAsia="Times New Roman" w:hAnsi="Times New Roman"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4C26DD2"/>
    <w:multiLevelType w:val="singleLevel"/>
    <w:tmpl w:val="041B0017"/>
    <w:lvl w:ilvl="0">
      <w:start w:val="3"/>
      <w:numFmt w:val="lowerLetter"/>
      <w:lvlText w:val="%1)"/>
      <w:lvlJc w:val="left"/>
      <w:pPr>
        <w:tabs>
          <w:tab w:val="num" w:pos="360"/>
        </w:tabs>
        <w:ind w:left="360" w:hanging="360"/>
      </w:pPr>
      <w:rPr>
        <w:rFonts w:hint="default"/>
      </w:rPr>
    </w:lvl>
  </w:abstractNum>
  <w:abstractNum w:abstractNumId="5" w15:restartNumberingAfterBreak="0">
    <w:nsid w:val="5F2F5E77"/>
    <w:multiLevelType w:val="hybridMultilevel"/>
    <w:tmpl w:val="7CE260A2"/>
    <w:lvl w:ilvl="0" w:tplc="058ADA6E">
      <w:start w:val="1"/>
      <w:numFmt w:val="lowerLetter"/>
      <w:lvlText w:val="%1)"/>
      <w:lvlJc w:val="left"/>
      <w:pPr>
        <w:tabs>
          <w:tab w:val="num" w:pos="360"/>
        </w:tabs>
        <w:ind w:left="360" w:hanging="360"/>
      </w:pPr>
      <w:rPr>
        <w:rFonts w:hint="default"/>
      </w:rPr>
    </w:lvl>
    <w:lvl w:ilvl="1" w:tplc="041B000F">
      <w:start w:val="1"/>
      <w:numFmt w:val="decimal"/>
      <w:lvlText w:val="%2."/>
      <w:lvlJc w:val="left"/>
      <w:pPr>
        <w:tabs>
          <w:tab w:val="num" w:pos="1477"/>
        </w:tabs>
        <w:ind w:left="1477" w:hanging="397"/>
      </w:pPr>
      <w:rPr>
        <w:rFonts w:hint="default"/>
        <w:vertAlign w:val="baseli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23836FA"/>
    <w:multiLevelType w:val="hybridMultilevel"/>
    <w:tmpl w:val="817289B8"/>
    <w:lvl w:ilvl="0" w:tplc="041B000F">
      <w:start w:val="1"/>
      <w:numFmt w:val="decimal"/>
      <w:lvlText w:val="%1."/>
      <w:lvlJc w:val="left"/>
      <w:pPr>
        <w:tabs>
          <w:tab w:val="num" w:pos="720"/>
        </w:tabs>
        <w:ind w:left="720" w:hanging="360"/>
      </w:pPr>
      <w:rPr>
        <w:rFonts w:hint="default"/>
      </w:rPr>
    </w:lvl>
    <w:lvl w:ilvl="1" w:tplc="041B000F">
      <w:start w:val="1"/>
      <w:numFmt w:val="decimal"/>
      <w:lvlText w:val="%2."/>
      <w:lvlJc w:val="left"/>
      <w:pPr>
        <w:tabs>
          <w:tab w:val="num" w:pos="1837"/>
        </w:tabs>
        <w:ind w:left="1837" w:hanging="397"/>
      </w:pPr>
      <w:rPr>
        <w:rFonts w:hint="default"/>
        <w:vertAlign w:val="baseline"/>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7" w15:restartNumberingAfterBreak="0">
    <w:nsid w:val="64A97404"/>
    <w:multiLevelType w:val="hybridMultilevel"/>
    <w:tmpl w:val="3B188A9A"/>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F8"/>
    <w:rsid w:val="00004565"/>
    <w:rsid w:val="00005A66"/>
    <w:rsid w:val="000209EB"/>
    <w:rsid w:val="000C6A20"/>
    <w:rsid w:val="000D67A5"/>
    <w:rsid w:val="000E43CC"/>
    <w:rsid w:val="001463D0"/>
    <w:rsid w:val="00196083"/>
    <w:rsid w:val="00265F82"/>
    <w:rsid w:val="0027056B"/>
    <w:rsid w:val="00274EF6"/>
    <w:rsid w:val="002C0AF4"/>
    <w:rsid w:val="002F0BA0"/>
    <w:rsid w:val="00303593"/>
    <w:rsid w:val="00322B45"/>
    <w:rsid w:val="00342C37"/>
    <w:rsid w:val="00343A48"/>
    <w:rsid w:val="003A416D"/>
    <w:rsid w:val="003C35F8"/>
    <w:rsid w:val="003D41F2"/>
    <w:rsid w:val="003E7661"/>
    <w:rsid w:val="00420F34"/>
    <w:rsid w:val="004534D7"/>
    <w:rsid w:val="00464B61"/>
    <w:rsid w:val="004B22CE"/>
    <w:rsid w:val="00701B48"/>
    <w:rsid w:val="007141DC"/>
    <w:rsid w:val="007345EA"/>
    <w:rsid w:val="007B2A98"/>
    <w:rsid w:val="00823211"/>
    <w:rsid w:val="00867486"/>
    <w:rsid w:val="009F1D30"/>
    <w:rsid w:val="00AA3A75"/>
    <w:rsid w:val="00AF2770"/>
    <w:rsid w:val="00AF28B8"/>
    <w:rsid w:val="00BD5067"/>
    <w:rsid w:val="00BE55A0"/>
    <w:rsid w:val="00C63149"/>
    <w:rsid w:val="00C84A17"/>
    <w:rsid w:val="00D10CE9"/>
    <w:rsid w:val="00ED6085"/>
    <w:rsid w:val="00ED73EF"/>
    <w:rsid w:val="00F15E66"/>
    <w:rsid w:val="00F40ADF"/>
    <w:rsid w:val="00FB4358"/>
    <w:rsid w:val="00FB5ECC"/>
    <w:rsid w:val="00FC70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A281-F060-432F-A525-6A8DE47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35F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4">
    <w:name w:val="heading 4"/>
    <w:basedOn w:val="Normlny"/>
    <w:next w:val="Normlny"/>
    <w:link w:val="Nadpis4Char"/>
    <w:qFormat/>
    <w:rsid w:val="003C35F8"/>
    <w:pPr>
      <w:keepNext/>
      <w:tabs>
        <w:tab w:val="left" w:pos="3555"/>
      </w:tabs>
      <w:ind w:left="3555" w:hanging="720"/>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3C35F8"/>
    <w:rPr>
      <w:rFonts w:ascii="Times New Roman" w:eastAsia="Times New Roman" w:hAnsi="Times New Roman" w:cs="Times New Roman"/>
      <w:sz w:val="24"/>
      <w:szCs w:val="20"/>
      <w:lang w:eastAsia="sk-SK"/>
    </w:rPr>
  </w:style>
  <w:style w:type="paragraph" w:styleId="Zkladntext">
    <w:name w:val="Body Text"/>
    <w:basedOn w:val="Normlny"/>
    <w:link w:val="ZkladntextChar"/>
    <w:rsid w:val="003C35F8"/>
    <w:rPr>
      <w:sz w:val="24"/>
    </w:rPr>
  </w:style>
  <w:style w:type="character" w:customStyle="1" w:styleId="ZkladntextChar">
    <w:name w:val="Základný text Char"/>
    <w:basedOn w:val="Predvolenpsmoodseku"/>
    <w:link w:val="Zkladntext"/>
    <w:rsid w:val="003C35F8"/>
    <w:rPr>
      <w:rFonts w:ascii="Times New Roman" w:eastAsia="Times New Roman" w:hAnsi="Times New Roman" w:cs="Times New Roman"/>
      <w:sz w:val="24"/>
      <w:szCs w:val="20"/>
      <w:lang w:eastAsia="sk-SK"/>
    </w:rPr>
  </w:style>
  <w:style w:type="paragraph" w:styleId="Pta">
    <w:name w:val="footer"/>
    <w:basedOn w:val="Normlny"/>
    <w:link w:val="PtaChar"/>
    <w:rsid w:val="003C35F8"/>
    <w:pPr>
      <w:tabs>
        <w:tab w:val="center" w:pos="4536"/>
        <w:tab w:val="right" w:pos="9072"/>
      </w:tabs>
    </w:pPr>
  </w:style>
  <w:style w:type="character" w:customStyle="1" w:styleId="PtaChar">
    <w:name w:val="Päta Char"/>
    <w:basedOn w:val="Predvolenpsmoodseku"/>
    <w:link w:val="Pta"/>
    <w:rsid w:val="003C35F8"/>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3C35F8"/>
    <w:pPr>
      <w:ind w:left="720"/>
      <w:contextualSpacing/>
    </w:pPr>
  </w:style>
  <w:style w:type="paragraph" w:styleId="Hlavika">
    <w:name w:val="header"/>
    <w:basedOn w:val="Normlny"/>
    <w:link w:val="HlavikaChar"/>
    <w:unhideWhenUsed/>
    <w:rsid w:val="007141DC"/>
    <w:pPr>
      <w:tabs>
        <w:tab w:val="center" w:pos="4536"/>
        <w:tab w:val="right" w:pos="9072"/>
      </w:tabs>
    </w:pPr>
  </w:style>
  <w:style w:type="character" w:customStyle="1" w:styleId="HlavikaChar">
    <w:name w:val="Hlavička Char"/>
    <w:basedOn w:val="Predvolenpsmoodseku"/>
    <w:link w:val="Hlavika"/>
    <w:rsid w:val="007141D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D73EF"/>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3E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8449</Characters>
  <Application>Microsoft Office Word</Application>
  <DocSecurity>4</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SVPS SR</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Bohunicka Alzbeta, Ing.</dc:creator>
  <cp:keywords/>
  <dc:description/>
  <cp:lastModifiedBy>Kurucz Peter, Ing</cp:lastModifiedBy>
  <cp:revision>2</cp:revision>
  <cp:lastPrinted>2018-03-15T12:00:00Z</cp:lastPrinted>
  <dcterms:created xsi:type="dcterms:W3CDTF">2018-10-25T13:14:00Z</dcterms:created>
  <dcterms:modified xsi:type="dcterms:W3CDTF">2018-10-25T13:14:00Z</dcterms:modified>
</cp:coreProperties>
</file>